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82" w:rsidRPr="00082EBE" w:rsidRDefault="00CB47AC" w:rsidP="009C528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706BEC">
        <w:rPr>
          <w:rFonts w:ascii="Times New Roman" w:eastAsia="Times New Roman" w:hAnsi="Times New Roman" w:cs="Times New Roman"/>
          <w:b/>
          <w:bCs/>
          <w:sz w:val="28"/>
          <w:szCs w:val="28"/>
          <w:lang w:eastAsia="lv-LV"/>
        </w:rPr>
        <w:t xml:space="preserve">Ministru kabineta noteikumu projekta „Grozījumi Ministru kabineta 2013. gada 15. oktobra noteikumos Nr. 1115 “Gada pārskata sagatavošanas kārtība”” sākotnējās ietekmes novērtējuma ziņojums </w:t>
      </w:r>
      <w:r w:rsidR="009C5282" w:rsidRPr="00706BEC">
        <w:rPr>
          <w:rFonts w:ascii="Times New Roman" w:eastAsia="Times New Roman" w:hAnsi="Times New Roman" w:cs="Times New Roman"/>
          <w:b/>
          <w:bCs/>
          <w:sz w:val="28"/>
          <w:szCs w:val="28"/>
          <w:lang w:eastAsia="lv-LV"/>
        </w:rPr>
        <w:t>(anotācija)</w:t>
      </w:r>
    </w:p>
    <w:p w:rsidR="009C5282" w:rsidRPr="00082EBE" w:rsidRDefault="009C5282" w:rsidP="009C5282">
      <w:pPr>
        <w:shd w:val="clear" w:color="auto" w:fill="FFFFFF"/>
        <w:spacing w:before="45" w:after="0" w:line="250" w:lineRule="atLeast"/>
        <w:ind w:firstLine="300"/>
        <w:jc w:val="center"/>
        <w:rPr>
          <w:rFonts w:ascii="Times New Roman" w:eastAsia="Times New Roman" w:hAnsi="Times New Roman" w:cs="Times New Roman"/>
          <w:i/>
          <w:iCs/>
          <w:sz w:val="28"/>
          <w:szCs w:val="28"/>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3"/>
        <w:gridCol w:w="2408"/>
        <w:gridCol w:w="5812"/>
      </w:tblGrid>
      <w:tr w:rsidR="00082EBE" w:rsidRPr="00082EBE" w:rsidTr="00236CE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b/>
                <w:bCs/>
                <w:sz w:val="28"/>
                <w:szCs w:val="28"/>
                <w:lang w:eastAsia="lv-LV"/>
              </w:rPr>
            </w:pPr>
            <w:r w:rsidRPr="00082EBE">
              <w:rPr>
                <w:rFonts w:ascii="Times New Roman" w:eastAsia="Times New Roman" w:hAnsi="Times New Roman" w:cs="Times New Roman"/>
                <w:b/>
                <w:bCs/>
                <w:sz w:val="28"/>
                <w:szCs w:val="28"/>
                <w:lang w:eastAsia="lv-LV"/>
              </w:rPr>
              <w:t>I. Tiesību akta projekta izstrādes nepieciešamība</w:t>
            </w:r>
          </w:p>
        </w:tc>
      </w:tr>
      <w:tr w:rsidR="00082EBE" w:rsidRPr="00082EBE" w:rsidTr="00236CEE">
        <w:trPr>
          <w:trHeight w:val="405"/>
        </w:trPr>
        <w:tc>
          <w:tcPr>
            <w:tcW w:w="470" w:type="pct"/>
            <w:tcBorders>
              <w:top w:val="outset" w:sz="6" w:space="0" w:color="414142"/>
              <w:left w:val="outset" w:sz="6" w:space="0" w:color="414142"/>
              <w:bottom w:val="outset" w:sz="6" w:space="0" w:color="414142"/>
              <w:right w:val="outset" w:sz="6" w:space="0" w:color="414142"/>
            </w:tcBorders>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sz w:val="28"/>
                <w:szCs w:val="28"/>
                <w:lang w:eastAsia="lv-LV"/>
              </w:rPr>
            </w:pPr>
            <w:r w:rsidRPr="00082EBE">
              <w:rPr>
                <w:rFonts w:ascii="Times New Roman" w:eastAsia="Times New Roman" w:hAnsi="Times New Roman" w:cs="Times New Roman"/>
                <w:sz w:val="28"/>
                <w:szCs w:val="28"/>
                <w:lang w:eastAsia="lv-LV"/>
              </w:rPr>
              <w:t>1.</w:t>
            </w:r>
          </w:p>
        </w:tc>
        <w:tc>
          <w:tcPr>
            <w:tcW w:w="1327"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Pamatojums</w:t>
            </w:r>
          </w:p>
        </w:tc>
        <w:tc>
          <w:tcPr>
            <w:tcW w:w="3203" w:type="pct"/>
            <w:tcBorders>
              <w:top w:val="outset" w:sz="6" w:space="0" w:color="414142"/>
              <w:left w:val="outset" w:sz="6" w:space="0" w:color="414142"/>
              <w:bottom w:val="outset" w:sz="6" w:space="0" w:color="414142"/>
              <w:right w:val="outset" w:sz="6" w:space="0" w:color="414142"/>
            </w:tcBorders>
            <w:hideMark/>
          </w:tcPr>
          <w:p w:rsidR="009C5282" w:rsidRPr="00706BEC" w:rsidRDefault="00E24CB0" w:rsidP="0028650C">
            <w:pPr>
              <w:spacing w:after="0" w:line="240" w:lineRule="auto"/>
              <w:jc w:val="both"/>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 xml:space="preserve">Ministru kabineta noteikumu projekts </w:t>
            </w:r>
            <w:r w:rsidR="00517E35" w:rsidRPr="00706BEC">
              <w:rPr>
                <w:rFonts w:ascii="Times New Roman" w:eastAsia="Times New Roman" w:hAnsi="Times New Roman" w:cs="Times New Roman"/>
                <w:sz w:val="28"/>
                <w:szCs w:val="28"/>
                <w:lang w:eastAsia="lv-LV"/>
              </w:rPr>
              <w:t xml:space="preserve">„Grozījumi Ministru kabineta 2013. gada 15. oktobra noteikumos Nr. 1115 “Gada pārskata sagatavošanas kārtība”” </w:t>
            </w:r>
            <w:r w:rsidRPr="00706BEC">
              <w:rPr>
                <w:rFonts w:ascii="Times New Roman" w:eastAsia="Times New Roman" w:hAnsi="Times New Roman" w:cs="Times New Roman"/>
                <w:sz w:val="28"/>
                <w:szCs w:val="28"/>
                <w:lang w:eastAsia="lv-LV"/>
              </w:rPr>
              <w:t>(turpmāk –</w:t>
            </w:r>
            <w:r w:rsidR="00424B46" w:rsidRPr="00706BEC">
              <w:rPr>
                <w:rFonts w:ascii="Times New Roman" w:eastAsia="Times New Roman" w:hAnsi="Times New Roman" w:cs="Times New Roman"/>
                <w:sz w:val="28"/>
                <w:szCs w:val="28"/>
                <w:lang w:eastAsia="lv-LV"/>
              </w:rPr>
              <w:t xml:space="preserve"> </w:t>
            </w:r>
            <w:r w:rsidRPr="00706BEC">
              <w:rPr>
                <w:rFonts w:ascii="Times New Roman" w:eastAsia="Times New Roman" w:hAnsi="Times New Roman" w:cs="Times New Roman"/>
                <w:sz w:val="28"/>
                <w:szCs w:val="28"/>
                <w:lang w:eastAsia="lv-LV"/>
              </w:rPr>
              <w:t xml:space="preserve">noteikumu grozījumi) ir izstrādāts pēc Valsts </w:t>
            </w:r>
            <w:r w:rsidR="00517E35" w:rsidRPr="00706BEC">
              <w:rPr>
                <w:rFonts w:ascii="Times New Roman" w:eastAsia="Times New Roman" w:hAnsi="Times New Roman" w:cs="Times New Roman"/>
                <w:sz w:val="28"/>
                <w:szCs w:val="28"/>
                <w:lang w:eastAsia="lv-LV"/>
              </w:rPr>
              <w:t>kases iniciatīvas</w:t>
            </w:r>
            <w:r w:rsidR="00236CEE">
              <w:rPr>
                <w:rFonts w:ascii="Times New Roman" w:eastAsia="Times New Roman" w:hAnsi="Times New Roman" w:cs="Times New Roman"/>
                <w:sz w:val="28"/>
                <w:szCs w:val="28"/>
                <w:lang w:eastAsia="lv-LV"/>
              </w:rPr>
              <w:t xml:space="preserve"> saskaņā ar Likuma par budžetu un finanšu vadību 30.panta pirmo daļu</w:t>
            </w:r>
            <w:r w:rsidR="000E3068">
              <w:rPr>
                <w:rFonts w:ascii="Times New Roman" w:eastAsia="Times New Roman" w:hAnsi="Times New Roman" w:cs="Times New Roman"/>
                <w:sz w:val="28"/>
                <w:szCs w:val="28"/>
                <w:lang w:eastAsia="lv-LV"/>
              </w:rPr>
              <w:t>.</w:t>
            </w:r>
          </w:p>
        </w:tc>
      </w:tr>
      <w:tr w:rsidR="00082EBE" w:rsidRPr="00082EBE" w:rsidTr="00DB3875">
        <w:trPr>
          <w:trHeight w:val="465"/>
        </w:trPr>
        <w:tc>
          <w:tcPr>
            <w:tcW w:w="470" w:type="pct"/>
            <w:tcBorders>
              <w:top w:val="outset" w:sz="6" w:space="0" w:color="414142"/>
              <w:left w:val="outset" w:sz="6" w:space="0" w:color="414142"/>
              <w:bottom w:val="outset" w:sz="6" w:space="0" w:color="414142"/>
              <w:right w:val="outset" w:sz="6" w:space="0" w:color="414142"/>
            </w:tcBorders>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sz w:val="28"/>
                <w:szCs w:val="28"/>
                <w:lang w:eastAsia="lv-LV"/>
              </w:rPr>
            </w:pPr>
            <w:r w:rsidRPr="00082EBE">
              <w:rPr>
                <w:rFonts w:ascii="Times New Roman" w:eastAsia="Times New Roman" w:hAnsi="Times New Roman" w:cs="Times New Roman"/>
                <w:sz w:val="28"/>
                <w:szCs w:val="28"/>
                <w:lang w:eastAsia="lv-LV"/>
              </w:rPr>
              <w:t>2.</w:t>
            </w:r>
          </w:p>
        </w:tc>
        <w:tc>
          <w:tcPr>
            <w:tcW w:w="1327" w:type="pct"/>
            <w:tcBorders>
              <w:top w:val="outset" w:sz="6" w:space="0" w:color="414142"/>
              <w:left w:val="outset" w:sz="6" w:space="0" w:color="414142"/>
              <w:bottom w:val="outset" w:sz="6" w:space="0" w:color="414142"/>
              <w:right w:val="outset" w:sz="6" w:space="0" w:color="414142"/>
            </w:tcBorders>
            <w:shd w:val="clear" w:color="auto" w:fill="auto"/>
            <w:hideMark/>
          </w:tcPr>
          <w:p w:rsidR="009C5282" w:rsidRPr="00DB3875" w:rsidRDefault="009C5282" w:rsidP="009C5282">
            <w:pPr>
              <w:spacing w:after="0" w:line="240" w:lineRule="auto"/>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3" w:type="pct"/>
            <w:tcBorders>
              <w:top w:val="outset" w:sz="6" w:space="0" w:color="414142"/>
              <w:left w:val="outset" w:sz="6" w:space="0" w:color="414142"/>
              <w:bottom w:val="outset" w:sz="6" w:space="0" w:color="414142"/>
              <w:right w:val="outset" w:sz="6" w:space="0" w:color="414142"/>
            </w:tcBorders>
            <w:shd w:val="clear" w:color="auto" w:fill="auto"/>
            <w:hideMark/>
          </w:tcPr>
          <w:p w:rsidR="00E94A4C" w:rsidRPr="003F1002" w:rsidRDefault="00FE511A" w:rsidP="00FE511A">
            <w:pPr>
              <w:pStyle w:val="ListParagraph"/>
              <w:tabs>
                <w:tab w:val="left" w:pos="0"/>
              </w:tabs>
              <w:spacing w:after="0" w:line="240" w:lineRule="auto"/>
              <w:ind w:left="0"/>
              <w:jc w:val="both"/>
              <w:rPr>
                <w:rFonts w:ascii="Times New Roman" w:hAnsi="Times New Roman" w:cs="Times New Roman"/>
                <w:sz w:val="28"/>
                <w:szCs w:val="24"/>
              </w:rPr>
            </w:pPr>
            <w:r w:rsidRPr="00DB3875">
              <w:rPr>
                <w:rFonts w:ascii="Times New Roman" w:hAnsi="Times New Roman" w:cs="Times New Roman"/>
                <w:sz w:val="28"/>
                <w:szCs w:val="24"/>
              </w:rPr>
              <w:t xml:space="preserve">Ministru kabineta noteikumi „Gada pārskata sagatavošanas kārtība” </w:t>
            </w:r>
            <w:r w:rsidRPr="00630AC6">
              <w:rPr>
                <w:rFonts w:ascii="Times New Roman" w:hAnsi="Times New Roman" w:cs="Times New Roman"/>
                <w:sz w:val="28"/>
                <w:szCs w:val="24"/>
              </w:rPr>
              <w:t xml:space="preserve">nosaka gada pārskatu sagatavošanas </w:t>
            </w:r>
            <w:r w:rsidRPr="00630AC6">
              <w:rPr>
                <w:rFonts w:ascii="Times New Roman" w:hAnsi="Times New Roman" w:cs="Times New Roman"/>
                <w:sz w:val="28"/>
                <w:szCs w:val="28"/>
              </w:rPr>
              <w:t xml:space="preserve">kārtību </w:t>
            </w:r>
            <w:r w:rsidR="006474EC" w:rsidRPr="00630AC6">
              <w:rPr>
                <w:rFonts w:ascii="Times New Roman" w:hAnsi="Times New Roman" w:cs="Times New Roman"/>
                <w:sz w:val="28"/>
                <w:szCs w:val="28"/>
              </w:rPr>
              <w:t>budžeta iestādēm, no valsts budžeta daļēji finansētām atvasinātām publiskām personām un budžeta nefinansētām iestādēm</w:t>
            </w:r>
            <w:r w:rsidRPr="00630AC6">
              <w:rPr>
                <w:rFonts w:ascii="Times New Roman" w:hAnsi="Times New Roman" w:cs="Times New Roman"/>
                <w:sz w:val="28"/>
                <w:szCs w:val="28"/>
              </w:rPr>
              <w:t>. Noteikum</w:t>
            </w:r>
            <w:r w:rsidR="00DB3875" w:rsidRPr="00630AC6">
              <w:rPr>
                <w:rFonts w:ascii="Times New Roman" w:hAnsi="Times New Roman" w:cs="Times New Roman"/>
                <w:sz w:val="28"/>
                <w:szCs w:val="28"/>
              </w:rPr>
              <w:t>i nosaka gada pārskata</w:t>
            </w:r>
            <w:r w:rsidR="00DB3875" w:rsidRPr="00DB3875">
              <w:rPr>
                <w:rFonts w:ascii="Times New Roman" w:hAnsi="Times New Roman" w:cs="Times New Roman"/>
                <w:sz w:val="28"/>
                <w:szCs w:val="28"/>
              </w:rPr>
              <w:t xml:space="preserve"> veidlapu aizpildīšanas</w:t>
            </w:r>
            <w:r w:rsidR="003F1002">
              <w:rPr>
                <w:rFonts w:ascii="Times New Roman" w:hAnsi="Times New Roman" w:cs="Times New Roman"/>
                <w:sz w:val="28"/>
                <w:szCs w:val="28"/>
              </w:rPr>
              <w:t xml:space="preserve"> un iesniegšanas</w:t>
            </w:r>
            <w:r w:rsidR="00DB3875" w:rsidRPr="00DB3875">
              <w:rPr>
                <w:rFonts w:ascii="Times New Roman" w:hAnsi="Times New Roman" w:cs="Times New Roman"/>
                <w:sz w:val="28"/>
                <w:szCs w:val="28"/>
              </w:rPr>
              <w:t xml:space="preserve"> kārtību,</w:t>
            </w:r>
            <w:r w:rsidR="005D680B">
              <w:rPr>
                <w:rFonts w:ascii="Times New Roman" w:hAnsi="Times New Roman" w:cs="Times New Roman"/>
                <w:sz w:val="28"/>
                <w:szCs w:val="28"/>
              </w:rPr>
              <w:t xml:space="preserve"> salīdzināšanās veikšanas kārtību, </w:t>
            </w:r>
            <w:r w:rsidR="00DB3875" w:rsidRPr="00DB3875">
              <w:rPr>
                <w:rFonts w:ascii="Times New Roman" w:hAnsi="Times New Roman" w:cs="Times New Roman"/>
                <w:sz w:val="28"/>
                <w:szCs w:val="28"/>
              </w:rPr>
              <w:t xml:space="preserve"> kā arī citas informācijas sniegšanas kārtību.</w:t>
            </w:r>
            <w:r w:rsidRPr="00DB3875">
              <w:rPr>
                <w:rFonts w:ascii="Times New Roman" w:hAnsi="Times New Roman" w:cs="Times New Roman"/>
                <w:sz w:val="28"/>
                <w:szCs w:val="24"/>
              </w:rPr>
              <w:t xml:space="preserve"> Noteikumu grozījumi ir izstrādāti ar mērķi </w:t>
            </w:r>
            <w:r w:rsidR="00E94A4C" w:rsidRPr="00DB3875">
              <w:rPr>
                <w:rFonts w:ascii="Times New Roman" w:hAnsi="Times New Roman" w:cs="Times New Roman"/>
                <w:sz w:val="28"/>
                <w:szCs w:val="24"/>
              </w:rPr>
              <w:t>nodrošināt konsekventu (vienādu) gada pārskata sagatavo</w:t>
            </w:r>
            <w:r w:rsidR="00E94A4C" w:rsidRPr="005D680B">
              <w:rPr>
                <w:rFonts w:ascii="Times New Roman" w:hAnsi="Times New Roman" w:cs="Times New Roman"/>
                <w:sz w:val="28"/>
                <w:szCs w:val="24"/>
              </w:rPr>
              <w:t>šanas principu ievērošanu, Valsts kontroles ieteikumu ieviešanu, veicin</w:t>
            </w:r>
            <w:r w:rsidR="008906FE" w:rsidRPr="003F1002">
              <w:rPr>
                <w:rFonts w:ascii="Times New Roman" w:hAnsi="Times New Roman" w:cs="Times New Roman"/>
                <w:sz w:val="28"/>
                <w:szCs w:val="24"/>
              </w:rPr>
              <w:t>āt</w:t>
            </w:r>
            <w:r w:rsidR="00E94A4C" w:rsidRPr="003F1002">
              <w:rPr>
                <w:rFonts w:ascii="Times New Roman" w:hAnsi="Times New Roman" w:cs="Times New Roman"/>
                <w:sz w:val="28"/>
                <w:szCs w:val="24"/>
              </w:rPr>
              <w:t xml:space="preserve"> vienotu izpratni pareizai pārskatu </w:t>
            </w:r>
            <w:r w:rsidR="005D680B">
              <w:rPr>
                <w:rFonts w:ascii="Times New Roman" w:hAnsi="Times New Roman" w:cs="Times New Roman"/>
                <w:sz w:val="28"/>
                <w:szCs w:val="24"/>
              </w:rPr>
              <w:t xml:space="preserve">veidlapu </w:t>
            </w:r>
            <w:r w:rsidR="00E94A4C" w:rsidRPr="005D680B">
              <w:rPr>
                <w:rFonts w:ascii="Times New Roman" w:hAnsi="Times New Roman" w:cs="Times New Roman"/>
                <w:sz w:val="28"/>
                <w:szCs w:val="24"/>
              </w:rPr>
              <w:t>aizpildī</w:t>
            </w:r>
            <w:r w:rsidR="008906FE" w:rsidRPr="005D680B">
              <w:rPr>
                <w:rFonts w:ascii="Times New Roman" w:hAnsi="Times New Roman" w:cs="Times New Roman"/>
                <w:sz w:val="28"/>
                <w:szCs w:val="24"/>
              </w:rPr>
              <w:t>šanai un atvieglot</w:t>
            </w:r>
            <w:r w:rsidR="00E94A4C" w:rsidRPr="003F1002">
              <w:rPr>
                <w:rFonts w:ascii="Times New Roman" w:hAnsi="Times New Roman" w:cs="Times New Roman"/>
                <w:sz w:val="28"/>
                <w:szCs w:val="24"/>
              </w:rPr>
              <w:t xml:space="preserve"> to aizpildīšanu.</w:t>
            </w:r>
          </w:p>
          <w:p w:rsidR="00FE511A" w:rsidRPr="00DB3875" w:rsidRDefault="00E94A4C" w:rsidP="00FE511A">
            <w:pPr>
              <w:pStyle w:val="ListParagraph"/>
              <w:tabs>
                <w:tab w:val="left" w:pos="0"/>
              </w:tabs>
              <w:spacing w:after="0" w:line="240" w:lineRule="auto"/>
              <w:ind w:left="0"/>
              <w:jc w:val="both"/>
              <w:rPr>
                <w:rFonts w:ascii="Times New Roman" w:hAnsi="Times New Roman" w:cs="Times New Roman"/>
                <w:sz w:val="28"/>
                <w:szCs w:val="24"/>
              </w:rPr>
            </w:pPr>
            <w:r w:rsidRPr="00DB3875">
              <w:rPr>
                <w:rFonts w:ascii="Times New Roman" w:hAnsi="Times New Roman" w:cs="Times New Roman"/>
                <w:sz w:val="28"/>
                <w:szCs w:val="24"/>
              </w:rPr>
              <w:t xml:space="preserve">Noteikumu grozījumi paredz šādas izmaiņas gada pārskata sagatavošanas kārtībā: </w:t>
            </w:r>
          </w:p>
          <w:p w:rsidR="002A06DE" w:rsidRPr="00DB3875" w:rsidRDefault="008906F4" w:rsidP="002A06DE">
            <w:pPr>
              <w:pStyle w:val="ListParagraph"/>
              <w:numPr>
                <w:ilvl w:val="0"/>
                <w:numId w:val="9"/>
              </w:numPr>
              <w:tabs>
                <w:tab w:val="left" w:pos="368"/>
              </w:tabs>
              <w:spacing w:after="0" w:line="240" w:lineRule="auto"/>
              <w:ind w:left="0" w:firstLine="300"/>
              <w:jc w:val="both"/>
              <w:rPr>
                <w:rFonts w:ascii="Times New Roman" w:hAnsi="Times New Roman" w:cs="Times New Roman"/>
                <w:sz w:val="24"/>
                <w:szCs w:val="24"/>
              </w:rPr>
            </w:pPr>
            <w:r w:rsidRPr="00DB3875">
              <w:rPr>
                <w:rFonts w:ascii="Times New Roman" w:eastAsia="Times New Roman" w:hAnsi="Times New Roman" w:cs="Times New Roman"/>
                <w:sz w:val="28"/>
                <w:szCs w:val="28"/>
                <w:lang w:eastAsia="lv-LV"/>
              </w:rPr>
              <w:t>M</w:t>
            </w:r>
            <w:r w:rsidR="00793DF1" w:rsidRPr="00DB3875">
              <w:rPr>
                <w:rFonts w:ascii="Times New Roman" w:eastAsia="Times New Roman" w:hAnsi="Times New Roman" w:cs="Times New Roman"/>
                <w:sz w:val="28"/>
                <w:szCs w:val="28"/>
                <w:lang w:eastAsia="lv-LV"/>
              </w:rPr>
              <w:t>inistru kabineta noteikumu</w:t>
            </w:r>
            <w:r w:rsidRPr="00DB3875">
              <w:rPr>
                <w:rFonts w:ascii="Times New Roman" w:eastAsia="Times New Roman" w:hAnsi="Times New Roman" w:cs="Times New Roman"/>
                <w:sz w:val="28"/>
                <w:szCs w:val="28"/>
                <w:lang w:eastAsia="lv-LV"/>
              </w:rPr>
              <w:t xml:space="preserve"> spēkā esošā redakcija nosaka, ka </w:t>
            </w:r>
            <w:r w:rsidR="0074140E" w:rsidRPr="00DB3875">
              <w:rPr>
                <w:rFonts w:ascii="Times New Roman" w:eastAsia="Times New Roman" w:hAnsi="Times New Roman" w:cs="Times New Roman"/>
                <w:sz w:val="28"/>
                <w:szCs w:val="28"/>
                <w:lang w:eastAsia="lv-LV"/>
              </w:rPr>
              <w:t xml:space="preserve">pašvaldības sniedz </w:t>
            </w:r>
            <w:r w:rsidRPr="00DB3875">
              <w:rPr>
                <w:rFonts w:ascii="Times New Roman" w:eastAsia="Times New Roman" w:hAnsi="Times New Roman" w:cs="Times New Roman"/>
                <w:sz w:val="28"/>
                <w:szCs w:val="28"/>
                <w:lang w:eastAsia="lv-LV"/>
              </w:rPr>
              <w:t>apliecinājumu Valsts kasei (Finanšu ministrijai) par gada pārskatā sniegtās informācijas patiesumu</w:t>
            </w:r>
            <w:r w:rsidR="002A06DE" w:rsidRPr="00DB3875">
              <w:rPr>
                <w:rFonts w:ascii="Times New Roman" w:eastAsia="Times New Roman" w:hAnsi="Times New Roman" w:cs="Times New Roman"/>
                <w:sz w:val="28"/>
                <w:szCs w:val="28"/>
                <w:lang w:eastAsia="lv-LV"/>
              </w:rPr>
              <w:t>.</w:t>
            </w:r>
          </w:p>
          <w:p w:rsidR="00D935C4" w:rsidRPr="00DB3875" w:rsidRDefault="0074140E" w:rsidP="004B38E6">
            <w:pPr>
              <w:pStyle w:val="ListParagraph"/>
              <w:numPr>
                <w:ilvl w:val="0"/>
                <w:numId w:val="9"/>
              </w:numPr>
              <w:tabs>
                <w:tab w:val="left" w:pos="537"/>
              </w:tabs>
              <w:spacing w:after="0" w:line="240" w:lineRule="auto"/>
              <w:ind w:left="0" w:firstLine="253"/>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 xml:space="preserve">Apliecinājuma </w:t>
            </w:r>
            <w:r w:rsidR="006D3659" w:rsidRPr="00DB3875">
              <w:rPr>
                <w:rFonts w:ascii="Times New Roman" w:eastAsia="Times New Roman" w:hAnsi="Times New Roman" w:cs="Times New Roman"/>
                <w:sz w:val="28"/>
                <w:szCs w:val="28"/>
                <w:lang w:eastAsia="lv-LV"/>
              </w:rPr>
              <w:t>teksts</w:t>
            </w:r>
            <w:r w:rsidR="00793DF1" w:rsidRPr="00DB3875">
              <w:rPr>
                <w:rFonts w:ascii="Times New Roman" w:eastAsia="Times New Roman" w:hAnsi="Times New Roman" w:cs="Times New Roman"/>
                <w:sz w:val="28"/>
                <w:szCs w:val="28"/>
                <w:lang w:eastAsia="lv-LV"/>
              </w:rPr>
              <w:t xml:space="preserve"> </w:t>
            </w:r>
            <w:r w:rsidR="006D3659" w:rsidRPr="00DB3875">
              <w:rPr>
                <w:rFonts w:ascii="Times New Roman" w:eastAsia="Times New Roman" w:hAnsi="Times New Roman" w:cs="Times New Roman"/>
                <w:sz w:val="28"/>
                <w:szCs w:val="28"/>
                <w:lang w:eastAsia="lv-LV"/>
              </w:rPr>
              <w:t>par gada pārskatā sniegtās informācijas patiesumu papildināts ar jaunu apliecināmo informāciju</w:t>
            </w:r>
            <w:r w:rsidR="00EF5A5F">
              <w:rPr>
                <w:rFonts w:ascii="Times New Roman" w:eastAsia="Times New Roman" w:hAnsi="Times New Roman" w:cs="Times New Roman"/>
                <w:sz w:val="28"/>
                <w:szCs w:val="28"/>
                <w:lang w:eastAsia="lv-LV"/>
              </w:rPr>
              <w:t xml:space="preserve">. Pirms šāda apliecinājuma sniegšanas pašvaldību vadītājs nodrošina iekšējā kontroles un pārbaudes, lai sniegtu skaidru un patiesu priekšstatu par apliecinājumā izvirzītajiem apgalvojumiem. Saņemot šādu apliecinājumu, Finanšu ministrija sagatavojot Saimnieciskā gada pārskatu par valsts un pašvaldību konsolidēto bilanci un kopbudžetu, </w:t>
            </w:r>
            <w:r w:rsidR="00EF5A5F">
              <w:rPr>
                <w:rFonts w:ascii="Times New Roman" w:eastAsia="Times New Roman" w:hAnsi="Times New Roman" w:cs="Times New Roman"/>
                <w:sz w:val="28"/>
                <w:szCs w:val="28"/>
                <w:lang w:eastAsia="lv-LV"/>
              </w:rPr>
              <w:lastRenderedPageBreak/>
              <w:t>var saņemt ticamu informāciju par konsolidācijā iesaistīto vienību gada pārskata patiesumu un sniegtās informācijas salīdzināmību, nozīmīgumu un saprotamību.</w:t>
            </w:r>
            <w:r w:rsidR="00DA5FA5" w:rsidRPr="00DB3875">
              <w:rPr>
                <w:rFonts w:ascii="Times New Roman" w:eastAsia="Times New Roman" w:hAnsi="Times New Roman" w:cs="Times New Roman"/>
                <w:sz w:val="28"/>
                <w:szCs w:val="28"/>
                <w:lang w:eastAsia="lv-LV"/>
              </w:rPr>
              <w:t>Gada pārskata sastāvdaļa ir finanšu pārskata skaidrojums, kurš ietver informāciju par posteņu izmaiņām pārskata gada laikā</w:t>
            </w:r>
            <w:r w:rsidR="00C262B1" w:rsidRPr="00DB3875">
              <w:rPr>
                <w:rFonts w:ascii="Times New Roman" w:eastAsia="Times New Roman" w:hAnsi="Times New Roman" w:cs="Times New Roman"/>
                <w:sz w:val="28"/>
                <w:szCs w:val="28"/>
                <w:lang w:eastAsia="lv-LV"/>
              </w:rPr>
              <w:t xml:space="preserve">, </w:t>
            </w:r>
            <w:r w:rsidR="00DA5FA5" w:rsidRPr="00DB3875">
              <w:rPr>
                <w:rFonts w:ascii="Times New Roman" w:eastAsia="Times New Roman" w:hAnsi="Times New Roman" w:cs="Times New Roman"/>
                <w:sz w:val="28"/>
                <w:szCs w:val="28"/>
                <w:lang w:eastAsia="lv-LV"/>
              </w:rPr>
              <w:t>skaidrojot izmaiņu iemeslus un būtiskākos darījumus</w:t>
            </w:r>
            <w:r w:rsidR="00C262B1" w:rsidRPr="00DB3875">
              <w:rPr>
                <w:rFonts w:ascii="Times New Roman" w:eastAsia="Times New Roman" w:hAnsi="Times New Roman" w:cs="Times New Roman"/>
                <w:sz w:val="28"/>
                <w:szCs w:val="28"/>
                <w:lang w:eastAsia="lv-LV"/>
              </w:rPr>
              <w:t>. Iestādēm ir dažādi būtisko darījumu skaidrošanas principi.</w:t>
            </w:r>
            <w:r w:rsidR="00D935C4" w:rsidRPr="00DB3875">
              <w:rPr>
                <w:rFonts w:ascii="Times New Roman" w:eastAsia="Times New Roman" w:hAnsi="Times New Roman" w:cs="Times New Roman"/>
                <w:sz w:val="28"/>
                <w:szCs w:val="28"/>
                <w:lang w:eastAsia="lv-LV"/>
              </w:rPr>
              <w:t xml:space="preserve"> L</w:t>
            </w:r>
            <w:r w:rsidR="007F3960" w:rsidRPr="00DB3875">
              <w:rPr>
                <w:rFonts w:ascii="Times New Roman" w:eastAsia="Times New Roman" w:hAnsi="Times New Roman" w:cs="Times New Roman"/>
                <w:sz w:val="28"/>
                <w:szCs w:val="28"/>
                <w:lang w:eastAsia="lv-LV"/>
              </w:rPr>
              <w:t>ai nodrošinātu konsekventu principu piemērošanu</w:t>
            </w:r>
            <w:r w:rsidR="00D935C4" w:rsidRPr="00DB3875">
              <w:rPr>
                <w:rFonts w:ascii="Times New Roman" w:eastAsia="Times New Roman" w:hAnsi="Times New Roman" w:cs="Times New Roman"/>
                <w:sz w:val="28"/>
                <w:szCs w:val="28"/>
                <w:lang w:eastAsia="lv-LV"/>
              </w:rPr>
              <w:t>,</w:t>
            </w:r>
            <w:r w:rsidR="007F3960" w:rsidRPr="00DB3875">
              <w:rPr>
                <w:rFonts w:ascii="Times New Roman" w:eastAsia="Times New Roman" w:hAnsi="Times New Roman" w:cs="Times New Roman"/>
                <w:sz w:val="28"/>
                <w:szCs w:val="28"/>
                <w:lang w:eastAsia="lv-LV"/>
              </w:rPr>
              <w:t xml:space="preserve"> </w:t>
            </w:r>
            <w:r w:rsidR="003959F0" w:rsidRPr="00DB3875">
              <w:rPr>
                <w:rFonts w:ascii="Times New Roman" w:eastAsia="Times New Roman" w:hAnsi="Times New Roman" w:cs="Times New Roman"/>
                <w:sz w:val="28"/>
                <w:szCs w:val="28"/>
                <w:lang w:eastAsia="lv-LV"/>
              </w:rPr>
              <w:t>a</w:t>
            </w:r>
            <w:r w:rsidR="004D2EDE" w:rsidRPr="00DB3875">
              <w:rPr>
                <w:rFonts w:ascii="Times New Roman" w:eastAsia="Times New Roman" w:hAnsi="Times New Roman" w:cs="Times New Roman"/>
                <w:sz w:val="28"/>
                <w:szCs w:val="28"/>
                <w:lang w:eastAsia="lv-LV"/>
              </w:rPr>
              <w:t xml:space="preserve">r </w:t>
            </w:r>
            <w:r w:rsidR="00D935C4" w:rsidRPr="00DB3875">
              <w:rPr>
                <w:rFonts w:ascii="Times New Roman" w:eastAsia="Times New Roman" w:hAnsi="Times New Roman" w:cs="Times New Roman"/>
                <w:sz w:val="28"/>
                <w:szCs w:val="28"/>
                <w:lang w:eastAsia="lv-LV"/>
              </w:rPr>
              <w:t>noteikumu</w:t>
            </w:r>
            <w:r w:rsidR="004D2EDE" w:rsidRPr="00DB3875">
              <w:rPr>
                <w:rFonts w:ascii="Times New Roman" w:eastAsia="Times New Roman" w:hAnsi="Times New Roman" w:cs="Times New Roman"/>
                <w:sz w:val="28"/>
                <w:szCs w:val="28"/>
                <w:lang w:eastAsia="lv-LV"/>
              </w:rPr>
              <w:t xml:space="preserve"> grozījumiem ir</w:t>
            </w:r>
            <w:r w:rsidR="00D935C4" w:rsidRPr="00DB3875">
              <w:rPr>
                <w:rFonts w:ascii="Times New Roman" w:eastAsia="Times New Roman" w:hAnsi="Times New Roman" w:cs="Times New Roman"/>
                <w:sz w:val="28"/>
                <w:szCs w:val="28"/>
                <w:lang w:eastAsia="lv-LV"/>
              </w:rPr>
              <w:t xml:space="preserve"> noteikts</w:t>
            </w:r>
            <w:r w:rsidR="004D2EDE" w:rsidRPr="00DB3875">
              <w:rPr>
                <w:rFonts w:ascii="Times New Roman" w:eastAsia="Times New Roman" w:hAnsi="Times New Roman" w:cs="Times New Roman"/>
                <w:sz w:val="28"/>
                <w:szCs w:val="28"/>
                <w:lang w:eastAsia="lv-LV"/>
              </w:rPr>
              <w:t xml:space="preserve"> </w:t>
            </w:r>
            <w:r w:rsidR="00D935C4" w:rsidRPr="00DB3875">
              <w:rPr>
                <w:rFonts w:ascii="Times New Roman" w:eastAsia="Times New Roman" w:hAnsi="Times New Roman" w:cs="Times New Roman"/>
                <w:sz w:val="28"/>
                <w:szCs w:val="28"/>
                <w:lang w:eastAsia="lv-LV"/>
              </w:rPr>
              <w:t>būtiskuma līmenis</w:t>
            </w:r>
            <w:r w:rsidR="00EF5A5F">
              <w:rPr>
                <w:rFonts w:ascii="Times New Roman" w:eastAsia="Times New Roman" w:hAnsi="Times New Roman" w:cs="Times New Roman"/>
                <w:sz w:val="28"/>
                <w:szCs w:val="28"/>
                <w:lang w:eastAsia="lv-LV"/>
              </w:rPr>
              <w:t xml:space="preserve"> darījumiem, kurus ietver</w:t>
            </w:r>
            <w:r w:rsidR="00D935C4" w:rsidRPr="00DB3875">
              <w:rPr>
                <w:rFonts w:ascii="Times New Roman" w:eastAsia="Times New Roman" w:hAnsi="Times New Roman" w:cs="Times New Roman"/>
                <w:sz w:val="28"/>
                <w:szCs w:val="28"/>
                <w:lang w:eastAsia="lv-LV"/>
              </w:rPr>
              <w:t xml:space="preserve"> </w:t>
            </w:r>
            <w:r w:rsidR="0028650C" w:rsidRPr="00DB3875">
              <w:rPr>
                <w:rFonts w:ascii="Times New Roman" w:eastAsia="Times New Roman" w:hAnsi="Times New Roman" w:cs="Times New Roman"/>
                <w:sz w:val="28"/>
                <w:szCs w:val="28"/>
                <w:lang w:eastAsia="lv-LV"/>
              </w:rPr>
              <w:t xml:space="preserve"> ministrij</w:t>
            </w:r>
            <w:r w:rsidR="00EF5A5F">
              <w:rPr>
                <w:rFonts w:ascii="Times New Roman" w:eastAsia="Times New Roman" w:hAnsi="Times New Roman" w:cs="Times New Roman"/>
                <w:sz w:val="28"/>
                <w:szCs w:val="28"/>
                <w:lang w:eastAsia="lv-LV"/>
              </w:rPr>
              <w:t>u</w:t>
            </w:r>
            <w:r w:rsidR="0028650C" w:rsidRPr="00DB3875">
              <w:rPr>
                <w:rFonts w:ascii="Times New Roman" w:eastAsia="Times New Roman" w:hAnsi="Times New Roman" w:cs="Times New Roman"/>
                <w:sz w:val="28"/>
                <w:szCs w:val="28"/>
                <w:lang w:eastAsia="lv-LV"/>
              </w:rPr>
              <w:t>, centrāl</w:t>
            </w:r>
            <w:r w:rsidR="00EF5A5F">
              <w:rPr>
                <w:rFonts w:ascii="Times New Roman" w:eastAsia="Times New Roman" w:hAnsi="Times New Roman" w:cs="Times New Roman"/>
                <w:sz w:val="28"/>
                <w:szCs w:val="28"/>
                <w:lang w:eastAsia="lv-LV"/>
              </w:rPr>
              <w:t>o</w:t>
            </w:r>
            <w:r w:rsidR="0028650C" w:rsidRPr="00DB3875">
              <w:rPr>
                <w:rFonts w:ascii="Times New Roman" w:eastAsia="Times New Roman" w:hAnsi="Times New Roman" w:cs="Times New Roman"/>
                <w:sz w:val="28"/>
                <w:szCs w:val="28"/>
                <w:lang w:eastAsia="lv-LV"/>
              </w:rPr>
              <w:t xml:space="preserve"> valsts iestā</w:t>
            </w:r>
            <w:r w:rsidR="00EF5A5F">
              <w:rPr>
                <w:rFonts w:ascii="Times New Roman" w:eastAsia="Times New Roman" w:hAnsi="Times New Roman" w:cs="Times New Roman"/>
                <w:sz w:val="28"/>
                <w:szCs w:val="28"/>
                <w:lang w:eastAsia="lv-LV"/>
              </w:rPr>
              <w:t>žu</w:t>
            </w:r>
            <w:r w:rsidR="0028650C" w:rsidRPr="00DB3875">
              <w:rPr>
                <w:rFonts w:ascii="Times New Roman" w:eastAsia="Times New Roman" w:hAnsi="Times New Roman" w:cs="Times New Roman"/>
                <w:sz w:val="28"/>
                <w:szCs w:val="28"/>
                <w:lang w:eastAsia="lv-LV"/>
              </w:rPr>
              <w:t xml:space="preserve"> un pašvaldīb</w:t>
            </w:r>
            <w:r w:rsidR="00EF5A5F">
              <w:rPr>
                <w:rFonts w:ascii="Times New Roman" w:eastAsia="Times New Roman" w:hAnsi="Times New Roman" w:cs="Times New Roman"/>
                <w:sz w:val="28"/>
                <w:szCs w:val="28"/>
                <w:lang w:eastAsia="lv-LV"/>
              </w:rPr>
              <w:t>u</w:t>
            </w:r>
            <w:r w:rsidR="004D2EDE" w:rsidRPr="00DB3875">
              <w:rPr>
                <w:rFonts w:ascii="Times New Roman" w:eastAsia="Times New Roman" w:hAnsi="Times New Roman" w:cs="Times New Roman"/>
                <w:sz w:val="28"/>
                <w:szCs w:val="28"/>
                <w:lang w:eastAsia="lv-LV"/>
              </w:rPr>
              <w:t>, kura</w:t>
            </w:r>
            <w:r w:rsidR="00D935C4" w:rsidRPr="00DB3875">
              <w:rPr>
                <w:rFonts w:ascii="Times New Roman" w:eastAsia="Times New Roman" w:hAnsi="Times New Roman" w:cs="Times New Roman"/>
                <w:sz w:val="28"/>
                <w:szCs w:val="28"/>
                <w:lang w:eastAsia="lv-LV"/>
              </w:rPr>
              <w:t>s</w:t>
            </w:r>
            <w:r w:rsidR="004D2EDE" w:rsidRPr="00DB3875">
              <w:rPr>
                <w:rFonts w:ascii="Times New Roman" w:eastAsia="Times New Roman" w:hAnsi="Times New Roman" w:cs="Times New Roman"/>
                <w:sz w:val="28"/>
                <w:szCs w:val="28"/>
                <w:lang w:eastAsia="lv-LV"/>
              </w:rPr>
              <w:t xml:space="preserve"> sagatavo konsolidētā gada pārskata skaidrojum</w:t>
            </w:r>
            <w:r w:rsidR="00EF5A5F">
              <w:rPr>
                <w:rFonts w:ascii="Times New Roman" w:eastAsia="Times New Roman" w:hAnsi="Times New Roman" w:cs="Times New Roman"/>
                <w:sz w:val="28"/>
                <w:szCs w:val="28"/>
                <w:lang w:eastAsia="lv-LV"/>
              </w:rPr>
              <w:t>ā</w:t>
            </w:r>
            <w:r w:rsidR="00D935C4" w:rsidRPr="00DB3875">
              <w:rPr>
                <w:rFonts w:ascii="Times New Roman" w:eastAsia="Times New Roman" w:hAnsi="Times New Roman" w:cs="Times New Roman"/>
                <w:sz w:val="28"/>
                <w:szCs w:val="28"/>
                <w:lang w:eastAsia="lv-LV"/>
              </w:rPr>
              <w:t>.</w:t>
            </w:r>
            <w:r w:rsidR="0074564E" w:rsidRPr="00DB3875">
              <w:rPr>
                <w:rFonts w:ascii="Times New Roman" w:eastAsia="Times New Roman" w:hAnsi="Times New Roman" w:cs="Times New Roman"/>
                <w:sz w:val="28"/>
                <w:szCs w:val="28"/>
                <w:lang w:eastAsia="lv-LV"/>
              </w:rPr>
              <w:t xml:space="preserve"> Sagatavojot </w:t>
            </w:r>
            <w:r w:rsidR="00555870" w:rsidRPr="00DB3875">
              <w:rPr>
                <w:rFonts w:ascii="Times New Roman" w:eastAsia="Times New Roman" w:hAnsi="Times New Roman" w:cs="Times New Roman"/>
                <w:sz w:val="28"/>
                <w:szCs w:val="28"/>
                <w:lang w:eastAsia="lv-LV"/>
              </w:rPr>
              <w:t>finanšu</w:t>
            </w:r>
            <w:r w:rsidR="0074564E" w:rsidRPr="00DB3875">
              <w:rPr>
                <w:rFonts w:ascii="Times New Roman" w:eastAsia="Times New Roman" w:hAnsi="Times New Roman" w:cs="Times New Roman"/>
                <w:sz w:val="28"/>
                <w:szCs w:val="28"/>
                <w:lang w:eastAsia="lv-LV"/>
              </w:rPr>
              <w:t xml:space="preserve"> pārskata skaidrojumu, izmaiņas </w:t>
            </w:r>
            <w:r w:rsidR="001611A0" w:rsidRPr="00DB3875">
              <w:rPr>
                <w:rFonts w:ascii="Times New Roman" w:eastAsia="Times New Roman" w:hAnsi="Times New Roman" w:cs="Times New Roman"/>
                <w:sz w:val="28"/>
                <w:szCs w:val="28"/>
                <w:lang w:eastAsia="lv-LV"/>
              </w:rPr>
              <w:t xml:space="preserve">atbilstoši noteiktajam būtiskuma līmenim </w:t>
            </w:r>
            <w:r w:rsidR="0074564E" w:rsidRPr="00DB3875">
              <w:rPr>
                <w:rFonts w:ascii="Times New Roman" w:eastAsia="Times New Roman" w:hAnsi="Times New Roman" w:cs="Times New Roman"/>
                <w:sz w:val="28"/>
                <w:szCs w:val="28"/>
                <w:lang w:eastAsia="lv-LV"/>
              </w:rPr>
              <w:t>analizē absolūtajās vērtībās</w:t>
            </w:r>
            <w:r w:rsidR="00555870" w:rsidRPr="00DB3875">
              <w:rPr>
                <w:rFonts w:ascii="Times New Roman" w:eastAsia="Times New Roman" w:hAnsi="Times New Roman" w:cs="Times New Roman"/>
                <w:sz w:val="28"/>
                <w:szCs w:val="28"/>
                <w:lang w:eastAsia="lv-LV"/>
              </w:rPr>
              <w:t xml:space="preserve">, t.i. neņemot vērā iegūtā skaitļa zīmi. </w:t>
            </w:r>
            <w:hyperlink r:id="rId9" w:tooltip="Matemātika" w:history="1">
              <w:r w:rsidR="00555870" w:rsidRPr="00DB3875">
                <w:rPr>
                  <w:rFonts w:ascii="Times New Roman" w:eastAsia="Times New Roman" w:hAnsi="Times New Roman" w:cs="Times New Roman"/>
                  <w:sz w:val="28"/>
                  <w:szCs w:val="28"/>
                  <w:lang w:eastAsia="lv-LV"/>
                </w:rPr>
                <w:t>M</w:t>
              </w:r>
            </w:hyperlink>
            <w:r w:rsidR="00555870" w:rsidRPr="00DB3875">
              <w:rPr>
                <w:rFonts w:ascii="Times New Roman" w:eastAsia="Times New Roman" w:hAnsi="Times New Roman" w:cs="Times New Roman"/>
                <w:sz w:val="28"/>
                <w:szCs w:val="28"/>
                <w:lang w:eastAsia="lv-LV"/>
              </w:rPr>
              <w:t xml:space="preserve">atemātikā par </w:t>
            </w:r>
            <w:hyperlink r:id="rId10" w:tooltip="Reāls skaitlis" w:history="1">
              <w:r w:rsidR="00555870" w:rsidRPr="00DB3875">
                <w:rPr>
                  <w:rFonts w:ascii="Times New Roman" w:eastAsia="Times New Roman" w:hAnsi="Times New Roman" w:cs="Times New Roman"/>
                  <w:sz w:val="28"/>
                  <w:szCs w:val="28"/>
                  <w:lang w:eastAsia="lv-LV"/>
                </w:rPr>
                <w:t>reāla skaitļa</w:t>
              </w:r>
            </w:hyperlink>
            <w:r w:rsidR="00555870" w:rsidRPr="00DB3875">
              <w:rPr>
                <w:rFonts w:ascii="Times New Roman" w:eastAsia="Times New Roman" w:hAnsi="Times New Roman" w:cs="Times New Roman"/>
                <w:sz w:val="28"/>
                <w:szCs w:val="28"/>
                <w:lang w:eastAsia="lv-LV"/>
              </w:rPr>
              <w:t xml:space="preserve"> absolūto vērtību sauc skaitli bez </w:t>
            </w:r>
            <w:hyperlink r:id="rId11" w:tooltip="Plus un mīnus zīmes (vēl nav uzrakstīts)" w:history="1">
              <w:r w:rsidR="00555870" w:rsidRPr="00DB3875">
                <w:rPr>
                  <w:rFonts w:ascii="Times New Roman" w:eastAsia="Times New Roman" w:hAnsi="Times New Roman" w:cs="Times New Roman"/>
                  <w:sz w:val="28"/>
                  <w:szCs w:val="28"/>
                  <w:lang w:eastAsia="lv-LV"/>
                </w:rPr>
                <w:t>zīmes</w:t>
              </w:r>
            </w:hyperlink>
            <w:r w:rsidR="00555870" w:rsidRPr="00DB3875">
              <w:rPr>
                <w:rFonts w:ascii="Times New Roman" w:eastAsia="Times New Roman" w:hAnsi="Times New Roman" w:cs="Times New Roman"/>
                <w:sz w:val="28"/>
                <w:szCs w:val="28"/>
                <w:lang w:eastAsia="lv-LV"/>
              </w:rPr>
              <w:t xml:space="preserve"> (piemēram skaitļa „-10” absolūtā vērtība ir „10”).</w:t>
            </w:r>
            <w:r w:rsidR="00B23869" w:rsidRPr="00DB3875">
              <w:rPr>
                <w:rFonts w:ascii="Times New Roman" w:eastAsia="Times New Roman" w:hAnsi="Times New Roman" w:cs="Times New Roman"/>
                <w:sz w:val="28"/>
                <w:szCs w:val="28"/>
                <w:lang w:eastAsia="lv-LV"/>
              </w:rPr>
              <w:t xml:space="preserve"> </w:t>
            </w:r>
          </w:p>
          <w:p w:rsidR="00D935C4" w:rsidRPr="00DB3875" w:rsidRDefault="00A73C39" w:rsidP="004B38E6">
            <w:pPr>
              <w:pStyle w:val="ListParagraph"/>
              <w:numPr>
                <w:ilvl w:val="0"/>
                <w:numId w:val="9"/>
              </w:numPr>
              <w:spacing w:after="0" w:line="240" w:lineRule="auto"/>
              <w:ind w:left="-30" w:firstLine="330"/>
              <w:jc w:val="both"/>
              <w:rPr>
                <w:rFonts w:ascii="Times New Roman" w:eastAsia="Times New Roman" w:hAnsi="Times New Roman" w:cs="Times New Roman"/>
                <w:strike/>
                <w:sz w:val="28"/>
                <w:szCs w:val="28"/>
                <w:lang w:eastAsia="lv-LV"/>
              </w:rPr>
            </w:pPr>
            <w:r w:rsidRPr="00DB3875">
              <w:rPr>
                <w:rFonts w:ascii="Times New Roman" w:eastAsia="Times New Roman" w:hAnsi="Times New Roman" w:cs="Times New Roman"/>
                <w:sz w:val="28"/>
                <w:szCs w:val="28"/>
                <w:lang w:eastAsia="lv-LV"/>
              </w:rPr>
              <w:t>Spēkā esošā noteikumu redakcija paredz, ka konsolidācij</w:t>
            </w:r>
            <w:r w:rsidR="0028650C"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 xml:space="preserve"> vei</w:t>
            </w:r>
            <w:r w:rsidR="0028650C" w:rsidRPr="00DB3875">
              <w:rPr>
                <w:rFonts w:ascii="Times New Roman" w:eastAsia="Times New Roman" w:hAnsi="Times New Roman" w:cs="Times New Roman"/>
                <w:sz w:val="28"/>
                <w:szCs w:val="28"/>
                <w:lang w:eastAsia="lv-LV"/>
              </w:rPr>
              <w:t>c</w:t>
            </w:r>
            <w:r w:rsidRPr="00DB3875">
              <w:rPr>
                <w:rFonts w:ascii="Times New Roman" w:eastAsia="Times New Roman" w:hAnsi="Times New Roman" w:cs="Times New Roman"/>
                <w:sz w:val="28"/>
                <w:szCs w:val="28"/>
                <w:lang w:eastAsia="lv-LV"/>
              </w:rPr>
              <w:t xml:space="preserve"> atbilstoši mazākuma principam. </w:t>
            </w:r>
            <w:r w:rsidR="004913B4" w:rsidRPr="00DB3875">
              <w:rPr>
                <w:rFonts w:ascii="Times New Roman" w:eastAsia="Times New Roman" w:hAnsi="Times New Roman" w:cs="Times New Roman"/>
                <w:sz w:val="28"/>
                <w:szCs w:val="28"/>
                <w:lang w:eastAsia="lv-LV"/>
              </w:rPr>
              <w:t xml:space="preserve">Atbilstoši Valsts kontroles Ziņojumā par Latvijas Republikas 2014.gada pārskata par valsts budžeta izpildi un par pašvaldību budžetiem sniegtajam ieteikumam – „lai nodrošinātu patiesas informācijas sniegšanu par darījumu apjomiem Saimnieciskā gada pārskatā, t.i., panākot maksimālu identisku darījumu un atlikumu vērtību izslēgšanu starp konsolidējamām vienībām, Finanšu ministrijai sagatavot un virzīt nepieciešamos grozījumus ārējos normatīvos aktos” </w:t>
            </w:r>
            <w:r w:rsidR="0028650C" w:rsidRPr="00DB3875">
              <w:rPr>
                <w:rFonts w:ascii="Times New Roman" w:eastAsia="Times New Roman" w:hAnsi="Times New Roman" w:cs="Times New Roman"/>
                <w:sz w:val="28"/>
                <w:szCs w:val="28"/>
                <w:lang w:eastAsia="lv-LV"/>
              </w:rPr>
              <w:t>–</w:t>
            </w:r>
            <w:r w:rsidR="004913B4" w:rsidRPr="00DB3875">
              <w:rPr>
                <w:rFonts w:ascii="Times New Roman" w:eastAsia="Times New Roman" w:hAnsi="Times New Roman" w:cs="Times New Roman"/>
                <w:sz w:val="28"/>
                <w:szCs w:val="28"/>
                <w:lang w:eastAsia="lv-LV"/>
              </w:rPr>
              <w:t xml:space="preserve">  n</w:t>
            </w:r>
            <w:r w:rsidR="008A698D" w:rsidRPr="00DB3875">
              <w:rPr>
                <w:rFonts w:ascii="Times New Roman" w:eastAsia="Times New Roman" w:hAnsi="Times New Roman" w:cs="Times New Roman"/>
                <w:sz w:val="28"/>
                <w:szCs w:val="28"/>
                <w:lang w:eastAsia="lv-LV"/>
              </w:rPr>
              <w:t>oteikumu grozījumi paredz s</w:t>
            </w:r>
            <w:r w:rsidR="00082EBE" w:rsidRPr="00DB3875">
              <w:rPr>
                <w:rFonts w:ascii="Times New Roman" w:eastAsia="Times New Roman" w:hAnsi="Times New Roman" w:cs="Times New Roman"/>
                <w:sz w:val="28"/>
                <w:szCs w:val="28"/>
                <w:lang w:eastAsia="lv-LV"/>
              </w:rPr>
              <w:t>vītrot</w:t>
            </w:r>
            <w:r w:rsidR="003E02EC" w:rsidRPr="00DB3875">
              <w:rPr>
                <w:rFonts w:ascii="Times New Roman" w:eastAsia="Times New Roman" w:hAnsi="Times New Roman" w:cs="Times New Roman"/>
                <w:sz w:val="28"/>
                <w:szCs w:val="28"/>
                <w:lang w:eastAsia="lv-LV"/>
              </w:rPr>
              <w:t xml:space="preserve"> normu</w:t>
            </w:r>
            <w:r w:rsidR="00082EBE" w:rsidRPr="00DB3875">
              <w:rPr>
                <w:rFonts w:ascii="Times New Roman" w:eastAsia="Times New Roman" w:hAnsi="Times New Roman" w:cs="Times New Roman"/>
                <w:sz w:val="28"/>
                <w:szCs w:val="28"/>
                <w:lang w:eastAsia="lv-LV"/>
              </w:rPr>
              <w:t xml:space="preserve"> par mazākuma principa pielietošanu konsolidācijā iesaistīto iestāžu savstarpējo darījumu rezultātu un savstarpējo atlikumu summu izslēgšan</w:t>
            </w:r>
            <w:r w:rsidRPr="00DB3875">
              <w:rPr>
                <w:rFonts w:ascii="Times New Roman" w:eastAsia="Times New Roman" w:hAnsi="Times New Roman" w:cs="Times New Roman"/>
                <w:sz w:val="28"/>
                <w:szCs w:val="28"/>
                <w:lang w:eastAsia="lv-LV"/>
              </w:rPr>
              <w:t>ā nozares un pašvaldības līmenī</w:t>
            </w:r>
            <w:r w:rsidR="00CD760E" w:rsidRPr="00DB3875">
              <w:rPr>
                <w:rFonts w:ascii="Times New Roman" w:eastAsia="Times New Roman" w:hAnsi="Times New Roman" w:cs="Times New Roman"/>
                <w:sz w:val="28"/>
                <w:szCs w:val="28"/>
                <w:lang w:eastAsia="lv-LV"/>
              </w:rPr>
              <w:t>, nosakot pilnīgu darījumu un atlikumu izslēgšanu starp ministriju, centrālo valsts iestāžu un pašvaldību padotības iestādēm</w:t>
            </w:r>
            <w:r w:rsidRPr="00DB3875">
              <w:rPr>
                <w:rFonts w:ascii="Times New Roman" w:eastAsia="Times New Roman" w:hAnsi="Times New Roman" w:cs="Times New Roman"/>
                <w:sz w:val="28"/>
                <w:szCs w:val="28"/>
                <w:lang w:eastAsia="lv-LV"/>
              </w:rPr>
              <w:t>.</w:t>
            </w:r>
          </w:p>
          <w:p w:rsidR="00D935C4" w:rsidRPr="00DB3875" w:rsidRDefault="00A73C39" w:rsidP="004B38E6">
            <w:pPr>
              <w:pStyle w:val="ListParagraph"/>
              <w:numPr>
                <w:ilvl w:val="0"/>
                <w:numId w:val="9"/>
              </w:numPr>
              <w:spacing w:after="0" w:line="240" w:lineRule="auto"/>
              <w:ind w:left="0" w:firstLine="369"/>
              <w:jc w:val="both"/>
              <w:rPr>
                <w:rFonts w:ascii="Times New Roman" w:eastAsia="Times New Roman" w:hAnsi="Times New Roman" w:cs="Times New Roman"/>
                <w:strike/>
                <w:sz w:val="28"/>
                <w:szCs w:val="28"/>
                <w:lang w:eastAsia="lv-LV"/>
              </w:rPr>
            </w:pPr>
            <w:r w:rsidRPr="00DB3875">
              <w:rPr>
                <w:rFonts w:ascii="Times New Roman" w:eastAsia="Times New Roman" w:hAnsi="Times New Roman" w:cs="Times New Roman"/>
                <w:sz w:val="28"/>
                <w:szCs w:val="28"/>
                <w:lang w:eastAsia="lv-LV"/>
              </w:rPr>
              <w:t>Atbilstoši Valsts kontroles Ziņojumā par Latvijas Republikas 2014.gada pārskata par valsts budžeta izpildi un par pašvaldību budžetiem</w:t>
            </w:r>
            <w:r w:rsidR="00E65927" w:rsidRPr="00DB3875">
              <w:rPr>
                <w:rFonts w:ascii="Times New Roman" w:eastAsia="Times New Roman" w:hAnsi="Times New Roman" w:cs="Times New Roman"/>
                <w:sz w:val="28"/>
                <w:szCs w:val="28"/>
                <w:lang w:eastAsia="lv-LV"/>
              </w:rPr>
              <w:t xml:space="preserve"> </w:t>
            </w:r>
            <w:r w:rsidR="00E65927" w:rsidRPr="00DB3875">
              <w:rPr>
                <w:rFonts w:ascii="Times New Roman" w:eastAsia="Times New Roman" w:hAnsi="Times New Roman" w:cs="Times New Roman"/>
                <w:sz w:val="28"/>
                <w:szCs w:val="28"/>
                <w:lang w:eastAsia="lv-LV"/>
              </w:rPr>
              <w:lastRenderedPageBreak/>
              <w:t xml:space="preserve">sniegtajam ieteikumam </w:t>
            </w:r>
            <w:r w:rsidR="00CD760E" w:rsidRPr="00DB3875">
              <w:rPr>
                <w:rFonts w:ascii="Times New Roman" w:eastAsia="Times New Roman" w:hAnsi="Times New Roman" w:cs="Times New Roman"/>
                <w:sz w:val="28"/>
                <w:szCs w:val="28"/>
                <w:lang w:eastAsia="lv-LV"/>
              </w:rPr>
              <w:t>–</w:t>
            </w:r>
            <w:r w:rsidRPr="00DB3875">
              <w:rPr>
                <w:rFonts w:ascii="Times New Roman" w:eastAsia="Times New Roman" w:hAnsi="Times New Roman" w:cs="Times New Roman"/>
                <w:sz w:val="28"/>
                <w:szCs w:val="28"/>
                <w:lang w:eastAsia="lv-LV"/>
              </w:rPr>
              <w:t xml:space="preserve"> „</w:t>
            </w:r>
            <w:r w:rsidR="00E65927" w:rsidRPr="00DB3875">
              <w:rPr>
                <w:rFonts w:ascii="Times New Roman" w:eastAsia="Times New Roman" w:hAnsi="Times New Roman" w:cs="Times New Roman"/>
                <w:sz w:val="28"/>
                <w:szCs w:val="28"/>
                <w:lang w:eastAsia="lv-LV"/>
              </w:rPr>
              <w:t>l</w:t>
            </w:r>
            <w:r w:rsidRPr="00DB3875">
              <w:rPr>
                <w:rFonts w:ascii="Times New Roman" w:eastAsia="Times New Roman" w:hAnsi="Times New Roman" w:cs="Times New Roman"/>
                <w:sz w:val="28"/>
                <w:szCs w:val="28"/>
                <w:lang w:eastAsia="lv-LV"/>
              </w:rPr>
              <w:t xml:space="preserve">ai pārskatu lietotājiem sniegtu pilnīgu informāciju par paredzamajiem nākotnes </w:t>
            </w:r>
            <w:r w:rsidR="00DC3505" w:rsidRPr="00DB3875">
              <w:rPr>
                <w:rFonts w:ascii="Times New Roman" w:eastAsia="Times New Roman" w:hAnsi="Times New Roman" w:cs="Times New Roman"/>
                <w:sz w:val="28"/>
                <w:szCs w:val="28"/>
                <w:lang w:eastAsia="lv-LV"/>
              </w:rPr>
              <w:t>notikumiem</w:t>
            </w:r>
            <w:r w:rsidRPr="00DB3875">
              <w:rPr>
                <w:rFonts w:ascii="Times New Roman" w:eastAsia="Times New Roman" w:hAnsi="Times New Roman" w:cs="Times New Roman"/>
                <w:sz w:val="28"/>
                <w:szCs w:val="28"/>
                <w:lang w:eastAsia="lv-LV"/>
              </w:rPr>
              <w:t xml:space="preserve">, būtiskiem riskiem un neskaidriem apstākļiem, nodrošināt, ka Saimnieciskā gada pārskatā tiek atklāta informācija par valstij </w:t>
            </w:r>
            <w:r w:rsidR="00E65927" w:rsidRPr="00DB3875">
              <w:rPr>
                <w:rFonts w:ascii="Times New Roman" w:eastAsia="Times New Roman" w:hAnsi="Times New Roman" w:cs="Times New Roman"/>
                <w:sz w:val="28"/>
                <w:szCs w:val="28"/>
                <w:lang w:eastAsia="lv-LV"/>
              </w:rPr>
              <w:t xml:space="preserve">aktuālajiem tiesas procesiem” </w:t>
            </w:r>
            <w:r w:rsidR="00CD760E" w:rsidRPr="00DB3875">
              <w:rPr>
                <w:rFonts w:ascii="Times New Roman" w:eastAsia="Times New Roman" w:hAnsi="Times New Roman" w:cs="Times New Roman"/>
                <w:sz w:val="28"/>
                <w:szCs w:val="28"/>
                <w:lang w:eastAsia="lv-LV"/>
              </w:rPr>
              <w:t>–</w:t>
            </w:r>
            <w:r w:rsidR="00A90219" w:rsidRPr="00DB3875">
              <w:rPr>
                <w:rFonts w:ascii="Times New Roman" w:eastAsia="Times New Roman" w:hAnsi="Times New Roman" w:cs="Times New Roman"/>
                <w:sz w:val="28"/>
                <w:szCs w:val="28"/>
                <w:lang w:eastAsia="lv-LV"/>
              </w:rPr>
              <w:t xml:space="preserve"> </w:t>
            </w:r>
            <w:r w:rsidR="00305FD0" w:rsidRPr="00DB3875">
              <w:rPr>
                <w:rFonts w:ascii="Times New Roman" w:eastAsia="Times New Roman" w:hAnsi="Times New Roman" w:cs="Times New Roman"/>
                <w:sz w:val="28"/>
                <w:szCs w:val="28"/>
                <w:lang w:eastAsia="lv-LV"/>
              </w:rPr>
              <w:t>noteikts, ka finanšu pārskatu skaidrojumā jā</w:t>
            </w:r>
            <w:r w:rsidRPr="00DB3875">
              <w:rPr>
                <w:rFonts w:ascii="Times New Roman" w:eastAsia="Times New Roman" w:hAnsi="Times New Roman" w:cs="Times New Roman"/>
                <w:sz w:val="28"/>
                <w:szCs w:val="28"/>
                <w:lang w:eastAsia="lv-LV"/>
              </w:rPr>
              <w:t>sniedz informācij</w:t>
            </w:r>
            <w:r w:rsidR="00CD760E"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 xml:space="preserve"> </w:t>
            </w:r>
            <w:r w:rsidR="00082EBE" w:rsidRPr="00DB3875">
              <w:rPr>
                <w:rFonts w:ascii="Times New Roman" w:eastAsia="Times New Roman" w:hAnsi="Times New Roman" w:cs="Times New Roman"/>
                <w:sz w:val="28"/>
                <w:szCs w:val="28"/>
                <w:lang w:eastAsia="lv-LV"/>
              </w:rPr>
              <w:t xml:space="preserve">par </w:t>
            </w:r>
            <w:r w:rsidR="00082EBE" w:rsidRPr="00C6049F">
              <w:rPr>
                <w:rFonts w:ascii="Times New Roman" w:eastAsia="Times New Roman" w:hAnsi="Times New Roman" w:cs="Times New Roman"/>
                <w:sz w:val="28"/>
                <w:szCs w:val="28"/>
                <w:lang w:eastAsia="lv-LV"/>
              </w:rPr>
              <w:t>vals</w:t>
            </w:r>
            <w:r w:rsidR="00E8251A" w:rsidRPr="00C6049F">
              <w:rPr>
                <w:rFonts w:ascii="Times New Roman" w:eastAsia="Times New Roman" w:hAnsi="Times New Roman" w:cs="Times New Roman"/>
                <w:sz w:val="28"/>
                <w:szCs w:val="28"/>
                <w:lang w:eastAsia="lv-LV"/>
              </w:rPr>
              <w:t xml:space="preserve">tij </w:t>
            </w:r>
            <w:r w:rsidR="00E8251A" w:rsidRPr="00DB3875">
              <w:rPr>
                <w:rFonts w:ascii="Times New Roman" w:eastAsia="Times New Roman" w:hAnsi="Times New Roman" w:cs="Times New Roman"/>
                <w:sz w:val="28"/>
                <w:szCs w:val="28"/>
                <w:lang w:eastAsia="lv-LV"/>
              </w:rPr>
              <w:t xml:space="preserve">nozīmīgiem </w:t>
            </w:r>
            <w:r w:rsidR="00E8333D" w:rsidRPr="00DB3875">
              <w:rPr>
                <w:rFonts w:ascii="Times New Roman" w:eastAsia="Times New Roman" w:hAnsi="Times New Roman" w:cs="Times New Roman"/>
                <w:sz w:val="28"/>
                <w:szCs w:val="28"/>
                <w:lang w:eastAsia="lv-LV"/>
              </w:rPr>
              <w:t xml:space="preserve">tiesvedības </w:t>
            </w:r>
            <w:r w:rsidR="00E8251A" w:rsidRPr="00DB3875">
              <w:rPr>
                <w:rFonts w:ascii="Times New Roman" w:eastAsia="Times New Roman" w:hAnsi="Times New Roman" w:cs="Times New Roman"/>
                <w:sz w:val="28"/>
                <w:szCs w:val="28"/>
                <w:lang w:eastAsia="lv-LV"/>
              </w:rPr>
              <w:t>procesiem</w:t>
            </w:r>
            <w:r w:rsidR="004913B4" w:rsidRPr="00DB3875">
              <w:rPr>
                <w:rFonts w:ascii="Times New Roman" w:eastAsia="Times New Roman" w:hAnsi="Times New Roman" w:cs="Times New Roman"/>
                <w:sz w:val="28"/>
                <w:szCs w:val="28"/>
                <w:lang w:eastAsia="lv-LV"/>
              </w:rPr>
              <w:t>.</w:t>
            </w:r>
          </w:p>
          <w:p w:rsidR="00271ECF" w:rsidRPr="006D5E91" w:rsidRDefault="004F38D0" w:rsidP="00271ECF">
            <w:pPr>
              <w:pStyle w:val="ListParagraph"/>
              <w:numPr>
                <w:ilvl w:val="0"/>
                <w:numId w:val="9"/>
              </w:numPr>
              <w:spacing w:after="0" w:line="240" w:lineRule="auto"/>
              <w:ind w:left="0" w:firstLine="360"/>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Spēkā esošā noteikumu norma nosaka, ka budžeta izpildes pārskatos</w:t>
            </w:r>
            <w:r w:rsidR="009546B2" w:rsidRPr="00DB3875">
              <w:rPr>
                <w:rFonts w:ascii="Times New Roman" w:eastAsia="Times New Roman" w:hAnsi="Times New Roman" w:cs="Times New Roman"/>
                <w:sz w:val="28"/>
                <w:szCs w:val="28"/>
                <w:lang w:eastAsia="lv-LV"/>
              </w:rPr>
              <w:t xml:space="preserve"> (veidlapā Nr.2)</w:t>
            </w:r>
            <w:r w:rsidRPr="00DB3875">
              <w:rPr>
                <w:rFonts w:ascii="Times New Roman" w:eastAsia="Times New Roman" w:hAnsi="Times New Roman" w:cs="Times New Roman"/>
                <w:sz w:val="28"/>
                <w:szCs w:val="28"/>
                <w:lang w:eastAsia="lv-LV"/>
              </w:rPr>
              <w:t xml:space="preserve"> informācij</w:t>
            </w:r>
            <w:r w:rsidR="00CD760E"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 xml:space="preserve"> norāda sadalījumā pa institucionālajiem sektoriem. </w:t>
            </w:r>
            <w:r w:rsidR="000C6935" w:rsidRPr="00DB3875">
              <w:rPr>
                <w:rFonts w:ascii="Times New Roman" w:eastAsia="Times New Roman" w:hAnsi="Times New Roman" w:cs="Times New Roman"/>
                <w:sz w:val="28"/>
                <w:szCs w:val="28"/>
                <w:lang w:eastAsia="lv-LV"/>
              </w:rPr>
              <w:t>Pārejas noteikumos noteikts, ka līdz 2015.gada pārskatam</w:t>
            </w:r>
            <w:r w:rsidR="000E3068" w:rsidRPr="00DB3875">
              <w:rPr>
                <w:rFonts w:ascii="Times New Roman" w:eastAsia="Times New Roman" w:hAnsi="Times New Roman" w:cs="Times New Roman"/>
                <w:sz w:val="28"/>
                <w:szCs w:val="28"/>
                <w:lang w:eastAsia="lv-LV"/>
              </w:rPr>
              <w:t>,</w:t>
            </w:r>
            <w:r w:rsidR="000C6935" w:rsidRPr="00DB3875">
              <w:rPr>
                <w:rFonts w:ascii="Times New Roman" w:eastAsia="Times New Roman" w:hAnsi="Times New Roman" w:cs="Times New Roman"/>
                <w:sz w:val="28"/>
                <w:szCs w:val="28"/>
                <w:lang w:eastAsia="lv-LV"/>
              </w:rPr>
              <w:t xml:space="preserve"> ieskaitot</w:t>
            </w:r>
            <w:r w:rsidR="000E3068" w:rsidRPr="00DB3875">
              <w:rPr>
                <w:rFonts w:ascii="Times New Roman" w:eastAsia="Times New Roman" w:hAnsi="Times New Roman" w:cs="Times New Roman"/>
                <w:sz w:val="28"/>
                <w:szCs w:val="28"/>
                <w:lang w:eastAsia="lv-LV"/>
              </w:rPr>
              <w:t>,</w:t>
            </w:r>
            <w:r w:rsidR="000C6935" w:rsidRPr="00DB3875">
              <w:rPr>
                <w:rFonts w:ascii="Times New Roman" w:eastAsia="Times New Roman" w:hAnsi="Times New Roman" w:cs="Times New Roman"/>
                <w:sz w:val="28"/>
                <w:szCs w:val="28"/>
                <w:lang w:eastAsia="lv-LV"/>
              </w:rPr>
              <w:t xml:space="preserve"> nepieprasa šādas informācijas uzrādīšanu. </w:t>
            </w:r>
            <w:r w:rsidR="00271ECF" w:rsidRPr="006D5E91">
              <w:rPr>
                <w:rFonts w:ascii="Times New Roman" w:hAnsi="Times New Roman" w:cs="Times New Roman"/>
                <w:sz w:val="28"/>
                <w:szCs w:val="28"/>
              </w:rPr>
              <w:t xml:space="preserve">Noteikumu grozījumi paredz termiņa pagarināšanu vēl par diviem gadiem, jo noteiktā pārejas perioda darbības laikā ir parādījušās jaunas politikas iniciatīvas, kas var paredzēt citas izmaiņas budžeta izpildes datu sniegšanas apjomā. </w:t>
            </w:r>
          </w:p>
          <w:p w:rsidR="00271ECF" w:rsidRPr="00271ECF" w:rsidRDefault="00271ECF" w:rsidP="00271ECF">
            <w:pPr>
              <w:spacing w:after="0" w:line="240" w:lineRule="auto"/>
              <w:jc w:val="both"/>
              <w:rPr>
                <w:rFonts w:ascii="Times New Roman" w:hAnsi="Times New Roman" w:cs="Times New Roman"/>
                <w:sz w:val="28"/>
                <w:szCs w:val="28"/>
              </w:rPr>
            </w:pPr>
            <w:r w:rsidRPr="006D5E91">
              <w:rPr>
                <w:rFonts w:ascii="Times New Roman" w:hAnsi="Times New Roman" w:cs="Times New Roman"/>
                <w:sz w:val="28"/>
                <w:szCs w:val="28"/>
              </w:rPr>
              <w:t xml:space="preserve">Valsts kase </w:t>
            </w:r>
            <w:r w:rsidR="006D5E91" w:rsidRPr="006D5E91">
              <w:rPr>
                <w:rFonts w:ascii="Times New Roman" w:hAnsi="Times New Roman" w:cs="Times New Roman"/>
                <w:sz w:val="28"/>
                <w:szCs w:val="28"/>
              </w:rPr>
              <w:t>realizē</w:t>
            </w:r>
            <w:r w:rsidRPr="006D5E91">
              <w:rPr>
                <w:rFonts w:ascii="Times New Roman" w:hAnsi="Times New Roman" w:cs="Times New Roman"/>
                <w:sz w:val="28"/>
                <w:szCs w:val="28"/>
              </w:rPr>
              <w:t xml:space="preserve"> jaunās politikas iniciatīvas izstrād</w:t>
            </w:r>
            <w:r w:rsidR="00C6049F">
              <w:rPr>
                <w:rFonts w:ascii="Times New Roman" w:hAnsi="Times New Roman" w:cs="Times New Roman"/>
                <w:sz w:val="28"/>
                <w:szCs w:val="28"/>
              </w:rPr>
              <w:t>i</w:t>
            </w:r>
            <w:r w:rsidRPr="006D5E91">
              <w:rPr>
                <w:rFonts w:ascii="Times New Roman" w:hAnsi="Times New Roman" w:cs="Times New Roman"/>
                <w:sz w:val="28"/>
                <w:szCs w:val="28"/>
              </w:rPr>
              <w:t>, lai standartizētu grāmatvedības procesus valsts pārvaldē. Standartizējot grāmatvedības procesus  tiks  izstrādāti Latvijas publiskā sektora vienoti grāmatvedības standarti (turpmāk – Vadlīnijas) un to pielietošanas rokasgrāmata. Izstrādāt</w:t>
            </w:r>
            <w:r w:rsidR="00AC3C53" w:rsidRPr="006D5E91">
              <w:rPr>
                <w:rFonts w:ascii="Times New Roman" w:hAnsi="Times New Roman" w:cs="Times New Roman"/>
                <w:sz w:val="28"/>
                <w:szCs w:val="28"/>
              </w:rPr>
              <w:t>ās V</w:t>
            </w:r>
            <w:r w:rsidRPr="006D5E91">
              <w:rPr>
                <w:rFonts w:ascii="Times New Roman" w:hAnsi="Times New Roman" w:cs="Times New Roman"/>
                <w:sz w:val="28"/>
                <w:szCs w:val="28"/>
              </w:rPr>
              <w:t>adlīnijas būs pamats grozījumu veikšanai M</w:t>
            </w:r>
            <w:r w:rsidRPr="006D5E91">
              <w:rPr>
                <w:rFonts w:ascii="Times New Roman" w:hAnsi="Times New Roman" w:cs="Times New Roman"/>
                <w:sz w:val="28"/>
                <w:szCs w:val="28"/>
                <w:lang w:eastAsia="lv-LV"/>
              </w:rPr>
              <w:t>inistru kabineta noteikumos finanšu uzskaites un pārskatu sagatavošanas jomās. Ņemot vērā, ka Vadlīnijas nosaka arī noteiktu budžeta izpildes datu sniegšanas apjomu, pēc to izstrādes tiks atkārtoti vērtēti noteikumu nosacījumi attiecībā uz budžeta izpildes datu uzrādīšanas detalizāciju.</w:t>
            </w:r>
          </w:p>
          <w:p w:rsidR="00B45D0F" w:rsidRPr="00DB3875" w:rsidRDefault="00207203" w:rsidP="004B38E6">
            <w:pPr>
              <w:pStyle w:val="ListParagraph"/>
              <w:numPr>
                <w:ilvl w:val="0"/>
                <w:numId w:val="9"/>
              </w:numPr>
              <w:spacing w:after="0" w:line="240" w:lineRule="auto"/>
              <w:ind w:left="0" w:firstLine="360"/>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Budžeta iestādes, aiz</w:t>
            </w:r>
            <w:r w:rsidR="00232E8D" w:rsidRPr="00DB3875">
              <w:rPr>
                <w:rFonts w:ascii="Times New Roman" w:eastAsia="Times New Roman" w:hAnsi="Times New Roman" w:cs="Times New Roman"/>
                <w:sz w:val="28"/>
                <w:szCs w:val="28"/>
                <w:lang w:eastAsia="lv-LV"/>
              </w:rPr>
              <w:t xml:space="preserve">pildot gada pārskata veidlapas Nr. </w:t>
            </w:r>
            <w:r w:rsidRPr="00DB3875">
              <w:rPr>
                <w:rFonts w:ascii="Times New Roman" w:eastAsia="Times New Roman" w:hAnsi="Times New Roman" w:cs="Times New Roman"/>
                <w:sz w:val="28"/>
                <w:szCs w:val="28"/>
                <w:lang w:eastAsia="lv-LV"/>
              </w:rPr>
              <w:t xml:space="preserve">2-NP </w:t>
            </w:r>
            <w:r w:rsidR="00232E8D" w:rsidRPr="00DB3875">
              <w:rPr>
                <w:rFonts w:ascii="Times New Roman" w:eastAsia="Times New Roman" w:hAnsi="Times New Roman" w:cs="Times New Roman"/>
                <w:sz w:val="28"/>
                <w:szCs w:val="28"/>
                <w:lang w:eastAsia="lv-LV"/>
              </w:rPr>
              <w:t>„</w:t>
            </w:r>
            <w:r w:rsidRPr="00DB3875">
              <w:rPr>
                <w:rFonts w:ascii="Times New Roman" w:eastAsia="Times New Roman" w:hAnsi="Times New Roman" w:cs="Times New Roman"/>
                <w:sz w:val="28"/>
                <w:szCs w:val="28"/>
                <w:lang w:eastAsia="lv-LV"/>
              </w:rPr>
              <w:t xml:space="preserve">Naudas plūsmas pārskats”, </w:t>
            </w:r>
            <w:r w:rsidR="00232E8D" w:rsidRPr="00DB3875">
              <w:rPr>
                <w:rFonts w:ascii="Times New Roman" w:eastAsia="Times New Roman" w:hAnsi="Times New Roman" w:cs="Times New Roman"/>
                <w:sz w:val="28"/>
                <w:szCs w:val="28"/>
                <w:lang w:eastAsia="lv-LV"/>
              </w:rPr>
              <w:t xml:space="preserve">Nr. </w:t>
            </w:r>
            <w:r w:rsidRPr="00DB3875">
              <w:rPr>
                <w:rFonts w:ascii="Times New Roman" w:eastAsia="Times New Roman" w:hAnsi="Times New Roman" w:cs="Times New Roman"/>
                <w:sz w:val="28"/>
                <w:szCs w:val="28"/>
                <w:lang w:eastAsia="lv-LV"/>
              </w:rPr>
              <w:t xml:space="preserve">4-3 </w:t>
            </w:r>
            <w:r w:rsidR="00232E8D" w:rsidRPr="00DB3875">
              <w:rPr>
                <w:rFonts w:ascii="Times New Roman" w:eastAsia="Times New Roman" w:hAnsi="Times New Roman" w:cs="Times New Roman"/>
                <w:sz w:val="28"/>
                <w:szCs w:val="28"/>
                <w:lang w:eastAsia="lv-LV"/>
              </w:rPr>
              <w:t>„</w:t>
            </w:r>
            <w:r w:rsidRPr="00DB3875">
              <w:rPr>
                <w:rFonts w:ascii="Times New Roman" w:eastAsia="Times New Roman" w:hAnsi="Times New Roman" w:cs="Times New Roman"/>
                <w:sz w:val="28"/>
                <w:szCs w:val="28"/>
                <w:lang w:eastAsia="lv-LV"/>
              </w:rPr>
              <w:t xml:space="preserve">Pārskats par darbības finansiālajiem rezultātiem” un </w:t>
            </w:r>
            <w:r w:rsidR="00232E8D" w:rsidRPr="00DB3875">
              <w:rPr>
                <w:rFonts w:ascii="Times New Roman" w:eastAsia="Times New Roman" w:hAnsi="Times New Roman" w:cs="Times New Roman"/>
                <w:sz w:val="28"/>
                <w:szCs w:val="28"/>
                <w:lang w:eastAsia="lv-LV"/>
              </w:rPr>
              <w:t xml:space="preserve">Nr. </w:t>
            </w:r>
            <w:r w:rsidRPr="00DB3875">
              <w:rPr>
                <w:rFonts w:ascii="Times New Roman" w:eastAsia="Times New Roman" w:hAnsi="Times New Roman" w:cs="Times New Roman"/>
                <w:sz w:val="28"/>
                <w:szCs w:val="28"/>
                <w:lang w:eastAsia="lv-LV"/>
              </w:rPr>
              <w:t xml:space="preserve">2-DII </w:t>
            </w:r>
            <w:r w:rsidR="00232E8D" w:rsidRPr="00DB3875">
              <w:rPr>
                <w:rFonts w:ascii="Times New Roman" w:eastAsia="Times New Roman" w:hAnsi="Times New Roman" w:cs="Times New Roman"/>
                <w:sz w:val="28"/>
                <w:szCs w:val="28"/>
                <w:lang w:eastAsia="lv-LV"/>
              </w:rPr>
              <w:t>„</w:t>
            </w:r>
            <w:r w:rsidRPr="00DB3875">
              <w:rPr>
                <w:rFonts w:ascii="Times New Roman" w:eastAsia="Times New Roman" w:hAnsi="Times New Roman" w:cs="Times New Roman"/>
                <w:sz w:val="28"/>
                <w:szCs w:val="28"/>
                <w:lang w:eastAsia="lv-LV"/>
              </w:rPr>
              <w:t xml:space="preserve">Pārskats par dažādiem ieņēmumiem un izdevumiem” datus norāda pa šādiem budžeta veidiem: pamatbudžets, speciālais budžets, ziedojumi un dāvinājumi un citi budžeti. </w:t>
            </w:r>
            <w:r w:rsidR="00817EA4" w:rsidRPr="00DB3875">
              <w:rPr>
                <w:rFonts w:ascii="Times New Roman" w:eastAsia="Times New Roman" w:hAnsi="Times New Roman" w:cs="Times New Roman"/>
                <w:sz w:val="28"/>
                <w:szCs w:val="28"/>
                <w:lang w:eastAsia="lv-LV"/>
              </w:rPr>
              <w:t>Spēkā esošā noteikumu norma nosaka, ka n</w:t>
            </w:r>
            <w:r w:rsidRPr="00DB3875">
              <w:rPr>
                <w:rFonts w:ascii="Times New Roman" w:eastAsia="Times New Roman" w:hAnsi="Times New Roman" w:cs="Times New Roman"/>
                <w:sz w:val="28"/>
                <w:szCs w:val="28"/>
                <w:lang w:eastAsia="lv-LV"/>
              </w:rPr>
              <w:t xml:space="preserve">o valsts budžeta daļēji finansētas atvasinātas publiskas </w:t>
            </w:r>
            <w:r w:rsidRPr="00DB3875">
              <w:rPr>
                <w:rFonts w:ascii="Times New Roman" w:eastAsia="Times New Roman" w:hAnsi="Times New Roman" w:cs="Times New Roman"/>
                <w:sz w:val="28"/>
                <w:szCs w:val="28"/>
                <w:lang w:eastAsia="lv-LV"/>
              </w:rPr>
              <w:lastRenderedPageBreak/>
              <w:t xml:space="preserve">personas un budžeta nefinansētas iestādes datus norāda ailē „pamatbudžets”. </w:t>
            </w:r>
            <w:r w:rsidR="00871C5A" w:rsidRPr="00DB3875">
              <w:rPr>
                <w:rFonts w:ascii="Times New Roman" w:eastAsia="Times New Roman" w:hAnsi="Times New Roman" w:cs="Times New Roman"/>
                <w:sz w:val="28"/>
                <w:szCs w:val="28"/>
                <w:lang w:eastAsia="lv-LV"/>
              </w:rPr>
              <w:t>Ailē „pamatbudžets” datus norāda arī valsts un pašvaldību budžeta iestādes.</w:t>
            </w:r>
            <w:r w:rsidR="00B45D0F" w:rsidRPr="00DB3875">
              <w:rPr>
                <w:rFonts w:ascii="Times New Roman" w:eastAsia="Times New Roman" w:hAnsi="Times New Roman" w:cs="Times New Roman"/>
                <w:sz w:val="28"/>
                <w:szCs w:val="28"/>
                <w:lang w:eastAsia="lv-LV"/>
              </w:rPr>
              <w:t xml:space="preserve"> </w:t>
            </w:r>
          </w:p>
          <w:p w:rsidR="00817EA4" w:rsidRPr="00DB3875" w:rsidRDefault="00871C5A" w:rsidP="00C45421">
            <w:pPr>
              <w:spacing w:after="0" w:line="240" w:lineRule="auto"/>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L</w:t>
            </w:r>
            <w:r w:rsidR="00817EA4" w:rsidRPr="00DB3875">
              <w:rPr>
                <w:rFonts w:ascii="Times New Roman" w:eastAsia="Times New Roman" w:hAnsi="Times New Roman" w:cs="Times New Roman"/>
                <w:sz w:val="28"/>
                <w:szCs w:val="28"/>
                <w:lang w:eastAsia="lv-LV"/>
              </w:rPr>
              <w:t>ikum</w:t>
            </w:r>
            <w:r w:rsidRPr="00DB3875">
              <w:rPr>
                <w:rFonts w:ascii="Times New Roman" w:eastAsia="Times New Roman" w:hAnsi="Times New Roman" w:cs="Times New Roman"/>
                <w:sz w:val="28"/>
                <w:szCs w:val="28"/>
                <w:lang w:eastAsia="lv-LV"/>
              </w:rPr>
              <w:t>s</w:t>
            </w:r>
            <w:r w:rsidR="00817EA4" w:rsidRPr="00DB3875">
              <w:rPr>
                <w:rFonts w:ascii="Times New Roman" w:eastAsia="Times New Roman" w:hAnsi="Times New Roman" w:cs="Times New Roman"/>
                <w:sz w:val="28"/>
                <w:szCs w:val="28"/>
                <w:lang w:eastAsia="lv-LV"/>
              </w:rPr>
              <w:t xml:space="preserve"> par budžetu un finanšu vadību nosaka, ka </w:t>
            </w:r>
            <w:r w:rsidR="00737C04" w:rsidRPr="00DB3875">
              <w:rPr>
                <w:rFonts w:ascii="Times New Roman" w:eastAsia="Times New Roman" w:hAnsi="Times New Roman" w:cs="Times New Roman"/>
                <w:sz w:val="28"/>
                <w:szCs w:val="28"/>
                <w:lang w:eastAsia="lv-LV"/>
              </w:rPr>
              <w:t>k</w:t>
            </w:r>
            <w:r w:rsidR="00817EA4" w:rsidRPr="00DB3875">
              <w:rPr>
                <w:rFonts w:ascii="Times New Roman" w:eastAsia="Times New Roman" w:hAnsi="Times New Roman" w:cs="Times New Roman"/>
                <w:sz w:val="28"/>
                <w:szCs w:val="28"/>
                <w:lang w:eastAsia="lv-LV"/>
              </w:rPr>
              <w:t>onsolidētais kopbudžets sastāv no valsts pamatbudžeta, valsts speciālā budžeta, pašvaldību pamatbudžetu, pašvaldību speciālo budžetu, no valsts budžeta daļēji finansētu atvasinātu publisku personu budžetu un budžeta nefinansētu iestāžu budžetu summa</w:t>
            </w:r>
            <w:r w:rsidR="00AD76A8" w:rsidRPr="00DB3875">
              <w:rPr>
                <w:rFonts w:ascii="Times New Roman" w:eastAsia="Times New Roman" w:hAnsi="Times New Roman" w:cs="Times New Roman"/>
                <w:sz w:val="28"/>
                <w:szCs w:val="28"/>
                <w:lang w:eastAsia="lv-LV"/>
              </w:rPr>
              <w:t>s</w:t>
            </w:r>
            <w:r w:rsidR="00817EA4" w:rsidRPr="00DB3875">
              <w:rPr>
                <w:rFonts w:ascii="Times New Roman" w:eastAsia="Times New Roman" w:hAnsi="Times New Roman" w:cs="Times New Roman"/>
                <w:sz w:val="28"/>
                <w:szCs w:val="28"/>
                <w:lang w:eastAsia="lv-LV"/>
              </w:rPr>
              <w:t xml:space="preserve">, no kuras atskaitīti transferti. </w:t>
            </w:r>
            <w:r w:rsidRPr="00DB3875">
              <w:rPr>
                <w:rFonts w:ascii="Times New Roman" w:eastAsia="Times New Roman" w:hAnsi="Times New Roman" w:cs="Times New Roman"/>
                <w:sz w:val="28"/>
                <w:szCs w:val="28"/>
                <w:lang w:eastAsia="lv-LV"/>
              </w:rPr>
              <w:t xml:space="preserve">No likumā minētās definīcijas ir saprotams, ka </w:t>
            </w:r>
            <w:r w:rsidR="009E207A" w:rsidRPr="00DB3875">
              <w:rPr>
                <w:rFonts w:ascii="Times New Roman" w:eastAsia="Times New Roman" w:hAnsi="Times New Roman" w:cs="Times New Roman"/>
                <w:sz w:val="28"/>
                <w:szCs w:val="28"/>
                <w:lang w:eastAsia="lv-LV"/>
              </w:rPr>
              <w:t>no valsts budžeta daļēji finansētu atvasinātu publisku personu un budžeta nefinansētu iestāžu</w:t>
            </w:r>
            <w:r w:rsidR="009E207A" w:rsidRPr="00DB3875" w:rsidDel="009E207A">
              <w:rPr>
                <w:rFonts w:ascii="Times New Roman" w:eastAsia="Times New Roman" w:hAnsi="Times New Roman" w:cs="Times New Roman"/>
                <w:sz w:val="28"/>
                <w:szCs w:val="28"/>
                <w:lang w:eastAsia="lv-LV"/>
              </w:rPr>
              <w:t xml:space="preserve"> </w:t>
            </w:r>
            <w:r w:rsidRPr="00DB3875">
              <w:rPr>
                <w:rFonts w:ascii="Times New Roman" w:eastAsia="Times New Roman" w:hAnsi="Times New Roman" w:cs="Times New Roman"/>
                <w:sz w:val="28"/>
                <w:szCs w:val="28"/>
                <w:lang w:eastAsia="lv-LV"/>
              </w:rPr>
              <w:t xml:space="preserve">budžets neietilpst </w:t>
            </w:r>
            <w:r w:rsidR="00CD760E" w:rsidRPr="00DB3875">
              <w:rPr>
                <w:rFonts w:ascii="Times New Roman" w:eastAsia="Times New Roman" w:hAnsi="Times New Roman" w:cs="Times New Roman"/>
                <w:sz w:val="28"/>
                <w:szCs w:val="28"/>
                <w:lang w:eastAsia="lv-LV"/>
              </w:rPr>
              <w:t xml:space="preserve">valsts vai pašvaldības </w:t>
            </w:r>
            <w:r w:rsidRPr="00DB3875">
              <w:rPr>
                <w:rFonts w:ascii="Times New Roman" w:eastAsia="Times New Roman" w:hAnsi="Times New Roman" w:cs="Times New Roman"/>
                <w:sz w:val="28"/>
                <w:szCs w:val="28"/>
                <w:lang w:eastAsia="lv-LV"/>
              </w:rPr>
              <w:t xml:space="preserve">pamatbudžetā. </w:t>
            </w:r>
            <w:r w:rsidR="00817EA4" w:rsidRPr="00DB3875">
              <w:rPr>
                <w:rFonts w:ascii="Times New Roman" w:eastAsia="Times New Roman" w:hAnsi="Times New Roman" w:cs="Times New Roman"/>
                <w:sz w:val="28"/>
                <w:szCs w:val="28"/>
                <w:lang w:eastAsia="lv-LV"/>
              </w:rPr>
              <w:t xml:space="preserve">Lai </w:t>
            </w:r>
            <w:r w:rsidRPr="00DB3875">
              <w:rPr>
                <w:rFonts w:ascii="Times New Roman" w:eastAsia="Times New Roman" w:hAnsi="Times New Roman" w:cs="Times New Roman"/>
                <w:sz w:val="28"/>
                <w:szCs w:val="28"/>
                <w:lang w:eastAsia="lv-LV"/>
              </w:rPr>
              <w:t>nodrošinātu</w:t>
            </w:r>
            <w:r w:rsidR="00817EA4" w:rsidRPr="00DB3875">
              <w:rPr>
                <w:rFonts w:ascii="Times New Roman" w:eastAsia="Times New Roman" w:hAnsi="Times New Roman" w:cs="Times New Roman"/>
                <w:sz w:val="28"/>
                <w:szCs w:val="28"/>
                <w:lang w:eastAsia="lv-LV"/>
              </w:rPr>
              <w:t xml:space="preserve"> </w:t>
            </w:r>
            <w:r w:rsidR="00CD760E" w:rsidRPr="00DB3875">
              <w:rPr>
                <w:rFonts w:ascii="Times New Roman" w:eastAsia="Times New Roman" w:hAnsi="Times New Roman" w:cs="Times New Roman"/>
                <w:sz w:val="28"/>
                <w:szCs w:val="28"/>
                <w:lang w:eastAsia="lv-LV"/>
              </w:rPr>
              <w:t xml:space="preserve">valsts vai pašvaldības </w:t>
            </w:r>
            <w:r w:rsidR="00817EA4" w:rsidRPr="00DB3875">
              <w:rPr>
                <w:rFonts w:ascii="Times New Roman" w:eastAsia="Times New Roman" w:hAnsi="Times New Roman" w:cs="Times New Roman"/>
                <w:sz w:val="28"/>
                <w:szCs w:val="28"/>
                <w:lang w:eastAsia="lv-LV"/>
              </w:rPr>
              <w:t xml:space="preserve">pamatbudžeta un </w:t>
            </w:r>
            <w:r w:rsidR="009E207A" w:rsidRPr="00DB3875">
              <w:rPr>
                <w:rFonts w:ascii="Times New Roman" w:eastAsia="Times New Roman" w:hAnsi="Times New Roman" w:cs="Times New Roman"/>
                <w:sz w:val="28"/>
                <w:szCs w:val="28"/>
                <w:lang w:eastAsia="lv-LV"/>
              </w:rPr>
              <w:t>no valsts budžeta daļēji finansētu atvasinātu publisku personu un budžeta nefinansētu iestāžu</w:t>
            </w:r>
            <w:r w:rsidR="009E207A" w:rsidRPr="00DB3875" w:rsidDel="009E207A">
              <w:rPr>
                <w:rFonts w:ascii="Times New Roman" w:eastAsia="Times New Roman" w:hAnsi="Times New Roman" w:cs="Times New Roman"/>
                <w:sz w:val="28"/>
                <w:szCs w:val="28"/>
                <w:lang w:eastAsia="lv-LV"/>
              </w:rPr>
              <w:t xml:space="preserve"> </w:t>
            </w:r>
            <w:r w:rsidR="00CD760E" w:rsidRPr="00DB3875">
              <w:rPr>
                <w:rFonts w:ascii="Times New Roman" w:eastAsia="Times New Roman" w:hAnsi="Times New Roman" w:cs="Times New Roman"/>
                <w:sz w:val="28"/>
                <w:szCs w:val="28"/>
                <w:lang w:eastAsia="lv-LV"/>
              </w:rPr>
              <w:t xml:space="preserve">pamatdarbības </w:t>
            </w:r>
            <w:r w:rsidR="00817EA4" w:rsidRPr="00DB3875">
              <w:rPr>
                <w:rFonts w:ascii="Times New Roman" w:eastAsia="Times New Roman" w:hAnsi="Times New Roman" w:cs="Times New Roman"/>
                <w:sz w:val="28"/>
                <w:szCs w:val="28"/>
                <w:lang w:eastAsia="lv-LV"/>
              </w:rPr>
              <w:t xml:space="preserve">budžeta datu </w:t>
            </w:r>
            <w:r w:rsidRPr="00DB3875">
              <w:rPr>
                <w:rFonts w:ascii="Times New Roman" w:eastAsia="Times New Roman" w:hAnsi="Times New Roman" w:cs="Times New Roman"/>
                <w:sz w:val="28"/>
                <w:szCs w:val="28"/>
                <w:lang w:eastAsia="lv-LV"/>
              </w:rPr>
              <w:t xml:space="preserve">atsevišķu </w:t>
            </w:r>
            <w:r w:rsidR="00817EA4" w:rsidRPr="00DB3875">
              <w:rPr>
                <w:rFonts w:ascii="Times New Roman" w:eastAsia="Times New Roman" w:hAnsi="Times New Roman" w:cs="Times New Roman"/>
                <w:sz w:val="28"/>
                <w:szCs w:val="28"/>
                <w:lang w:eastAsia="lv-LV"/>
              </w:rPr>
              <w:t xml:space="preserve">uzrādīšanu, noteikumu grozījumi paredz </w:t>
            </w:r>
            <w:r w:rsidRPr="00DB3875">
              <w:rPr>
                <w:rFonts w:ascii="Times New Roman" w:eastAsia="Times New Roman" w:hAnsi="Times New Roman" w:cs="Times New Roman"/>
                <w:sz w:val="28"/>
                <w:szCs w:val="28"/>
                <w:lang w:eastAsia="lv-LV"/>
              </w:rPr>
              <w:t>naudas plūsmas pārskat</w:t>
            </w:r>
            <w:r w:rsidR="00CD760E"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 finansiālās darbības pārskat</w:t>
            </w:r>
            <w:r w:rsidR="00CD760E"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 xml:space="preserve"> un </w:t>
            </w:r>
            <w:r w:rsidR="00E515AB" w:rsidRPr="00DB3875">
              <w:rPr>
                <w:rFonts w:ascii="Times New Roman" w:eastAsia="Times New Roman" w:hAnsi="Times New Roman" w:cs="Times New Roman"/>
                <w:sz w:val="28"/>
                <w:szCs w:val="28"/>
                <w:lang w:eastAsia="lv-LV"/>
              </w:rPr>
              <w:t>pārskat</w:t>
            </w:r>
            <w:r w:rsidR="00CD760E" w:rsidRPr="00DB3875">
              <w:rPr>
                <w:rFonts w:ascii="Times New Roman" w:eastAsia="Times New Roman" w:hAnsi="Times New Roman" w:cs="Times New Roman"/>
                <w:sz w:val="28"/>
                <w:szCs w:val="28"/>
                <w:lang w:eastAsia="lv-LV"/>
              </w:rPr>
              <w:t>u</w:t>
            </w:r>
            <w:r w:rsidR="00E515AB" w:rsidRPr="00DB3875">
              <w:rPr>
                <w:rFonts w:ascii="Times New Roman" w:eastAsia="Times New Roman" w:hAnsi="Times New Roman" w:cs="Times New Roman"/>
                <w:sz w:val="28"/>
                <w:szCs w:val="28"/>
                <w:lang w:eastAsia="lv-LV"/>
              </w:rPr>
              <w:t xml:space="preserve"> </w:t>
            </w:r>
            <w:r w:rsidRPr="00DB3875">
              <w:rPr>
                <w:rFonts w:ascii="Times New Roman" w:eastAsia="Times New Roman" w:hAnsi="Times New Roman" w:cs="Times New Roman"/>
                <w:sz w:val="28"/>
                <w:szCs w:val="28"/>
                <w:lang w:eastAsia="lv-LV"/>
              </w:rPr>
              <w:t xml:space="preserve">par dažādiem ieņēmumiem un izdevumiem </w:t>
            </w:r>
            <w:r w:rsidR="00817EA4" w:rsidRPr="00DB3875">
              <w:rPr>
                <w:rFonts w:ascii="Times New Roman" w:eastAsia="Times New Roman" w:hAnsi="Times New Roman" w:cs="Times New Roman"/>
                <w:sz w:val="28"/>
                <w:szCs w:val="28"/>
                <w:lang w:eastAsia="lv-LV"/>
              </w:rPr>
              <w:t xml:space="preserve">papildināt ar aili „atvasināto personu </w:t>
            </w:r>
            <w:r w:rsidR="009E207A" w:rsidRPr="00DB3875">
              <w:rPr>
                <w:rFonts w:ascii="Times New Roman" w:eastAsia="Times New Roman" w:hAnsi="Times New Roman" w:cs="Times New Roman"/>
                <w:sz w:val="28"/>
                <w:szCs w:val="28"/>
                <w:lang w:eastAsia="lv-LV"/>
              </w:rPr>
              <w:t xml:space="preserve">pamatdarbības </w:t>
            </w:r>
            <w:r w:rsidR="00817EA4" w:rsidRPr="00DB3875">
              <w:rPr>
                <w:rFonts w:ascii="Times New Roman" w:eastAsia="Times New Roman" w:hAnsi="Times New Roman" w:cs="Times New Roman"/>
                <w:sz w:val="28"/>
                <w:szCs w:val="28"/>
                <w:lang w:eastAsia="lv-LV"/>
              </w:rPr>
              <w:t>budžets”.</w:t>
            </w:r>
            <w:r w:rsidR="00C45421" w:rsidRPr="00DB3875">
              <w:t xml:space="preserve"> </w:t>
            </w:r>
            <w:r w:rsidR="00C45421" w:rsidRPr="00DB3875">
              <w:rPr>
                <w:rFonts w:ascii="Times New Roman" w:eastAsia="Times New Roman" w:hAnsi="Times New Roman" w:cs="Times New Roman"/>
                <w:sz w:val="28"/>
                <w:szCs w:val="28"/>
                <w:lang w:eastAsia="lv-LV"/>
              </w:rPr>
              <w:t xml:space="preserve">Noteikumu </w:t>
            </w:r>
            <w:r w:rsidR="009B4966" w:rsidRPr="00DB3875">
              <w:rPr>
                <w:rFonts w:ascii="Times New Roman" w:eastAsia="Times New Roman" w:hAnsi="Times New Roman" w:cs="Times New Roman"/>
                <w:sz w:val="28"/>
                <w:szCs w:val="28"/>
                <w:lang w:eastAsia="lv-LV"/>
              </w:rPr>
              <w:t>grozījumos</w:t>
            </w:r>
            <w:r w:rsidR="00C45421" w:rsidRPr="00DB3875">
              <w:rPr>
                <w:rFonts w:ascii="Times New Roman" w:eastAsia="Times New Roman" w:hAnsi="Times New Roman" w:cs="Times New Roman"/>
                <w:sz w:val="28"/>
                <w:szCs w:val="28"/>
                <w:lang w:eastAsia="lv-LV"/>
              </w:rPr>
              <w:t xml:space="preserve"> lietotais termins „atvasināto personu pamatdarbības budžets” apzīmē ailes nosaukumu veidlapās. Zem katras veidlapas ir ievietota atsauce, kurā paskaidrots, ka „atvasināt</w:t>
            </w:r>
            <w:r w:rsidR="007747EF" w:rsidRPr="00DB3875">
              <w:rPr>
                <w:rFonts w:ascii="Times New Roman" w:eastAsia="Times New Roman" w:hAnsi="Times New Roman" w:cs="Times New Roman"/>
                <w:sz w:val="28"/>
                <w:szCs w:val="28"/>
                <w:lang w:eastAsia="lv-LV"/>
              </w:rPr>
              <w:t>as</w:t>
            </w:r>
            <w:r w:rsidR="00C45421" w:rsidRPr="00DB3875">
              <w:rPr>
                <w:rFonts w:ascii="Times New Roman" w:eastAsia="Times New Roman" w:hAnsi="Times New Roman" w:cs="Times New Roman"/>
                <w:sz w:val="28"/>
                <w:szCs w:val="28"/>
                <w:lang w:eastAsia="lv-LV"/>
              </w:rPr>
              <w:t xml:space="preserve"> person</w:t>
            </w:r>
            <w:r w:rsidR="007747EF" w:rsidRPr="00DB3875">
              <w:rPr>
                <w:rFonts w:ascii="Times New Roman" w:eastAsia="Times New Roman" w:hAnsi="Times New Roman" w:cs="Times New Roman"/>
                <w:sz w:val="28"/>
                <w:szCs w:val="28"/>
                <w:lang w:eastAsia="lv-LV"/>
              </w:rPr>
              <w:t>as</w:t>
            </w:r>
            <w:r w:rsidR="00C45421" w:rsidRPr="00DB3875">
              <w:rPr>
                <w:rFonts w:ascii="Times New Roman" w:eastAsia="Times New Roman" w:hAnsi="Times New Roman" w:cs="Times New Roman"/>
                <w:sz w:val="28"/>
                <w:szCs w:val="28"/>
                <w:lang w:eastAsia="lv-LV"/>
              </w:rPr>
              <w:t xml:space="preserve">” </w:t>
            </w:r>
            <w:r w:rsidR="007747EF" w:rsidRPr="00DB3875">
              <w:rPr>
                <w:rFonts w:ascii="Times New Roman" w:eastAsia="Times New Roman" w:hAnsi="Times New Roman" w:cs="Times New Roman"/>
                <w:sz w:val="28"/>
                <w:szCs w:val="28"/>
                <w:lang w:eastAsia="lv-LV"/>
              </w:rPr>
              <w:t xml:space="preserve"> ir</w:t>
            </w:r>
            <w:r w:rsidR="00C45421" w:rsidRPr="00DB3875">
              <w:rPr>
                <w:rFonts w:ascii="Times New Roman" w:eastAsia="Times New Roman" w:hAnsi="Times New Roman" w:cs="Times New Roman"/>
                <w:sz w:val="28"/>
                <w:szCs w:val="28"/>
                <w:lang w:eastAsia="lv-LV"/>
              </w:rPr>
              <w:t xml:space="preserve">  „no valsts budžeta daļēji finansētas atvasinātas publiskas personas un budžeta nefinansētas iestādes”. Šāds saīsinājums </w:t>
            </w:r>
            <w:r w:rsidR="007747EF" w:rsidRPr="00DB3875">
              <w:rPr>
                <w:rFonts w:ascii="Times New Roman" w:eastAsia="Times New Roman" w:hAnsi="Times New Roman" w:cs="Times New Roman"/>
                <w:sz w:val="28"/>
                <w:szCs w:val="28"/>
                <w:lang w:eastAsia="lv-LV"/>
              </w:rPr>
              <w:t>lietots atbilstoši likuma</w:t>
            </w:r>
            <w:r w:rsidR="00F03729" w:rsidRPr="00DB3875">
              <w:rPr>
                <w:rFonts w:ascii="Times New Roman" w:eastAsia="Times New Roman" w:hAnsi="Times New Roman" w:cs="Times New Roman"/>
                <w:sz w:val="28"/>
                <w:szCs w:val="28"/>
                <w:lang w:eastAsia="lv-LV"/>
              </w:rPr>
              <w:t xml:space="preserve"> </w:t>
            </w:r>
            <w:r w:rsidR="007747EF" w:rsidRPr="00DB3875">
              <w:rPr>
                <w:rFonts w:ascii="Times New Roman" w:eastAsia="Times New Roman" w:hAnsi="Times New Roman" w:cs="Times New Roman"/>
                <w:sz w:val="28"/>
                <w:szCs w:val="28"/>
                <w:lang w:eastAsia="lv-LV"/>
              </w:rPr>
              <w:t xml:space="preserve"> „Par valsts budžetu 2015.gadam” skaidrojumā lietotajam saīsinājumam, kā arī</w:t>
            </w:r>
            <w:r w:rsidR="00C45421" w:rsidRPr="00DB3875">
              <w:rPr>
                <w:rFonts w:ascii="Times New Roman" w:eastAsia="Times New Roman" w:hAnsi="Times New Roman" w:cs="Times New Roman"/>
                <w:sz w:val="28"/>
                <w:szCs w:val="28"/>
                <w:lang w:eastAsia="lv-LV"/>
              </w:rPr>
              <w:t xml:space="preserve"> lai ailes nosaukum</w:t>
            </w:r>
            <w:r w:rsidR="007747EF" w:rsidRPr="00DB3875">
              <w:rPr>
                <w:rFonts w:ascii="Times New Roman" w:eastAsia="Times New Roman" w:hAnsi="Times New Roman" w:cs="Times New Roman"/>
                <w:sz w:val="28"/>
                <w:szCs w:val="28"/>
                <w:lang w:eastAsia="lv-LV"/>
              </w:rPr>
              <w:t>u veidotu iespējami īsu</w:t>
            </w:r>
            <w:r w:rsidR="00C45421" w:rsidRPr="00DB3875">
              <w:rPr>
                <w:rFonts w:ascii="Times New Roman" w:eastAsia="Times New Roman" w:hAnsi="Times New Roman" w:cs="Times New Roman"/>
                <w:sz w:val="28"/>
                <w:szCs w:val="28"/>
                <w:lang w:eastAsia="lv-LV"/>
              </w:rPr>
              <w:t xml:space="preserve">. </w:t>
            </w:r>
            <w:r w:rsidR="009E207A" w:rsidRPr="00DB3875">
              <w:rPr>
                <w:rFonts w:ascii="Times New Roman" w:eastAsia="Times New Roman" w:hAnsi="Times New Roman" w:cs="Times New Roman"/>
                <w:sz w:val="28"/>
                <w:szCs w:val="28"/>
                <w:lang w:eastAsia="lv-LV"/>
              </w:rPr>
              <w:t>No valsts budžeta daļēji finansētu atvasinātu publisku personu un budžeta nefinansētu iestāžu</w:t>
            </w:r>
            <w:r w:rsidR="009E207A" w:rsidRPr="00DB3875" w:rsidDel="009E207A">
              <w:rPr>
                <w:rFonts w:ascii="Times New Roman" w:eastAsia="Times New Roman" w:hAnsi="Times New Roman" w:cs="Times New Roman"/>
                <w:sz w:val="28"/>
                <w:szCs w:val="28"/>
                <w:lang w:eastAsia="lv-LV"/>
              </w:rPr>
              <w:t xml:space="preserve"> </w:t>
            </w:r>
            <w:r w:rsidRPr="00DB3875">
              <w:rPr>
                <w:rFonts w:ascii="Times New Roman" w:eastAsia="Times New Roman" w:hAnsi="Times New Roman" w:cs="Times New Roman"/>
                <w:sz w:val="28"/>
                <w:szCs w:val="28"/>
                <w:lang w:eastAsia="lv-LV"/>
              </w:rPr>
              <w:t xml:space="preserve"> </w:t>
            </w:r>
            <w:r w:rsidR="00CD760E" w:rsidRPr="00DB3875">
              <w:rPr>
                <w:rFonts w:ascii="Times New Roman" w:eastAsia="Times New Roman" w:hAnsi="Times New Roman" w:cs="Times New Roman"/>
                <w:sz w:val="28"/>
                <w:szCs w:val="28"/>
                <w:lang w:eastAsia="lv-LV"/>
              </w:rPr>
              <w:t xml:space="preserve">pamatdarbības </w:t>
            </w:r>
            <w:r w:rsidRPr="00DB3875">
              <w:rPr>
                <w:rFonts w:ascii="Times New Roman" w:eastAsia="Times New Roman" w:hAnsi="Times New Roman" w:cs="Times New Roman"/>
                <w:sz w:val="28"/>
                <w:szCs w:val="28"/>
                <w:lang w:eastAsia="lv-LV"/>
              </w:rPr>
              <w:t>budžeta datu atsevišķa uzrādīšana atvieglos gada pārskata datu pārbaudi konsolidējošai vienībai (ministrijai) un nodrošinās kvalitatīvu pārskata sagatavošanu, veicinās saprotamāku un ērtāku konsolidācijas veikšanu</w:t>
            </w:r>
            <w:r w:rsidR="00AD6ED5" w:rsidRPr="00DB3875">
              <w:rPr>
                <w:rFonts w:ascii="Times New Roman" w:eastAsia="Times New Roman" w:hAnsi="Times New Roman" w:cs="Times New Roman"/>
                <w:sz w:val="28"/>
                <w:szCs w:val="28"/>
                <w:lang w:eastAsia="lv-LV"/>
              </w:rPr>
              <w:t xml:space="preserve"> gan nozares līmenī, gan sagatavojot Latvijas Republikas saimnieciskā gada pārskatu par valsts </w:t>
            </w:r>
            <w:r w:rsidR="00AD6ED5" w:rsidRPr="00DB3875">
              <w:rPr>
                <w:rFonts w:ascii="Times New Roman" w:eastAsia="Times New Roman" w:hAnsi="Times New Roman" w:cs="Times New Roman"/>
                <w:sz w:val="28"/>
                <w:szCs w:val="28"/>
                <w:lang w:eastAsia="lv-LV"/>
              </w:rPr>
              <w:lastRenderedPageBreak/>
              <w:t>budžeta izpildi un par pašvaldību budžetiem</w:t>
            </w:r>
            <w:r w:rsidRPr="00DB3875">
              <w:rPr>
                <w:rFonts w:ascii="Times New Roman" w:eastAsia="Times New Roman" w:hAnsi="Times New Roman" w:cs="Times New Roman"/>
                <w:sz w:val="28"/>
                <w:szCs w:val="28"/>
                <w:lang w:eastAsia="lv-LV"/>
              </w:rPr>
              <w:t>, d</w:t>
            </w:r>
            <w:r w:rsidR="00AD6ED5" w:rsidRPr="00DB3875">
              <w:rPr>
                <w:rFonts w:ascii="Times New Roman" w:eastAsia="Times New Roman" w:hAnsi="Times New Roman" w:cs="Times New Roman"/>
                <w:sz w:val="28"/>
                <w:szCs w:val="28"/>
                <w:lang w:eastAsia="lv-LV"/>
              </w:rPr>
              <w:t>os</w:t>
            </w:r>
            <w:r w:rsidRPr="00DB3875">
              <w:rPr>
                <w:rFonts w:ascii="Times New Roman" w:eastAsia="Times New Roman" w:hAnsi="Times New Roman" w:cs="Times New Roman"/>
                <w:sz w:val="28"/>
                <w:szCs w:val="28"/>
                <w:lang w:eastAsia="lv-LV"/>
              </w:rPr>
              <w:t xml:space="preserve"> iespēj</w:t>
            </w:r>
            <w:r w:rsidR="00AD6ED5"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 xml:space="preserve"> papildus savstarpējo </w:t>
            </w:r>
            <w:r w:rsidR="00AD6ED5" w:rsidRPr="00DB3875">
              <w:rPr>
                <w:rFonts w:ascii="Times New Roman" w:eastAsia="Times New Roman" w:hAnsi="Times New Roman" w:cs="Times New Roman"/>
                <w:sz w:val="28"/>
                <w:szCs w:val="28"/>
                <w:lang w:eastAsia="lv-LV"/>
              </w:rPr>
              <w:t>pārbaužu</w:t>
            </w:r>
            <w:r w:rsidRPr="00DB3875">
              <w:rPr>
                <w:rFonts w:ascii="Times New Roman" w:eastAsia="Times New Roman" w:hAnsi="Times New Roman" w:cs="Times New Roman"/>
                <w:sz w:val="28"/>
                <w:szCs w:val="28"/>
                <w:lang w:eastAsia="lv-LV"/>
              </w:rPr>
              <w:t xml:space="preserve"> starp dažādām gada pārskata veidlapām automātisku nodrošināšanu ePārskatu sistēmā</w:t>
            </w:r>
            <w:r w:rsidR="00CD760E" w:rsidRPr="00DB3875">
              <w:rPr>
                <w:rFonts w:ascii="Times New Roman" w:eastAsia="Times New Roman" w:hAnsi="Times New Roman" w:cs="Times New Roman"/>
                <w:sz w:val="28"/>
                <w:szCs w:val="28"/>
                <w:lang w:eastAsia="lv-LV"/>
              </w:rPr>
              <w:t xml:space="preserve">. Trešajām personām </w:t>
            </w:r>
            <w:r w:rsidRPr="00DB3875">
              <w:rPr>
                <w:rFonts w:ascii="Times New Roman" w:eastAsia="Times New Roman" w:hAnsi="Times New Roman" w:cs="Times New Roman"/>
                <w:sz w:val="28"/>
                <w:szCs w:val="28"/>
                <w:lang w:eastAsia="lv-LV"/>
              </w:rPr>
              <w:t xml:space="preserve">nodrošinās </w:t>
            </w:r>
            <w:r w:rsidR="00AD6ED5" w:rsidRPr="00DB3875">
              <w:rPr>
                <w:rFonts w:ascii="Times New Roman" w:eastAsia="Times New Roman" w:hAnsi="Times New Roman" w:cs="Times New Roman"/>
                <w:sz w:val="28"/>
                <w:szCs w:val="28"/>
                <w:lang w:eastAsia="lv-LV"/>
              </w:rPr>
              <w:t>pārskatāmāku un saprotamāku informācij</w:t>
            </w:r>
            <w:r w:rsidR="00CD760E" w:rsidRPr="00DB3875">
              <w:rPr>
                <w:rFonts w:ascii="Times New Roman" w:eastAsia="Times New Roman" w:hAnsi="Times New Roman" w:cs="Times New Roman"/>
                <w:sz w:val="28"/>
                <w:szCs w:val="28"/>
                <w:lang w:eastAsia="lv-LV"/>
              </w:rPr>
              <w:t>as atklāšan</w:t>
            </w:r>
            <w:r w:rsidR="00AD6ED5" w:rsidRPr="00DB3875">
              <w:rPr>
                <w:rFonts w:ascii="Times New Roman" w:eastAsia="Times New Roman" w:hAnsi="Times New Roman" w:cs="Times New Roman"/>
                <w:sz w:val="28"/>
                <w:szCs w:val="28"/>
                <w:lang w:eastAsia="lv-LV"/>
              </w:rPr>
              <w:t>u.</w:t>
            </w:r>
          </w:p>
          <w:p w:rsidR="00D935C4" w:rsidRPr="00DB3875" w:rsidRDefault="004A7DDE" w:rsidP="004B38E6">
            <w:pPr>
              <w:pStyle w:val="ListParagraph"/>
              <w:numPr>
                <w:ilvl w:val="0"/>
                <w:numId w:val="9"/>
              </w:numPr>
              <w:spacing w:line="240" w:lineRule="auto"/>
              <w:ind w:left="85" w:firstLine="360"/>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Šobrīd noteikumi paredz šādus transferta veidus:</w:t>
            </w:r>
            <w:r w:rsidR="004D4B55" w:rsidRPr="00DB3875">
              <w:rPr>
                <w:rFonts w:ascii="Times New Roman" w:eastAsia="Times New Roman" w:hAnsi="Times New Roman" w:cs="Times New Roman"/>
                <w:sz w:val="28"/>
                <w:szCs w:val="28"/>
                <w:lang w:eastAsia="lv-LV"/>
              </w:rPr>
              <w:t xml:space="preserve"> transferti</w:t>
            </w:r>
            <w:r w:rsidR="00B45D0F" w:rsidRPr="00DB3875">
              <w:rPr>
                <w:rFonts w:ascii="Times New Roman" w:eastAsia="Times New Roman" w:hAnsi="Times New Roman" w:cs="Times New Roman"/>
                <w:sz w:val="28"/>
                <w:szCs w:val="28"/>
                <w:lang w:eastAsia="lv-LV"/>
              </w:rPr>
              <w:t xml:space="preserve"> starp valsts struktūrām, izņemot komersantus, </w:t>
            </w:r>
            <w:r w:rsidR="004D4B55" w:rsidRPr="00DB3875">
              <w:rPr>
                <w:rFonts w:ascii="Times New Roman" w:eastAsia="Times New Roman" w:hAnsi="Times New Roman" w:cs="Times New Roman"/>
                <w:sz w:val="28"/>
                <w:szCs w:val="28"/>
                <w:lang w:eastAsia="lv-LV"/>
              </w:rPr>
              <w:t>transferti</w:t>
            </w:r>
            <w:r w:rsidR="00B45D0F" w:rsidRPr="00DB3875">
              <w:rPr>
                <w:rFonts w:ascii="Times New Roman" w:eastAsia="Times New Roman" w:hAnsi="Times New Roman" w:cs="Times New Roman"/>
                <w:sz w:val="28"/>
                <w:szCs w:val="28"/>
                <w:lang w:eastAsia="lv-LV"/>
              </w:rPr>
              <w:t xml:space="preserve"> starp pašvaldības struktūrām, </w:t>
            </w:r>
            <w:r w:rsidR="004D4B55" w:rsidRPr="00DB3875">
              <w:rPr>
                <w:rFonts w:ascii="Times New Roman" w:eastAsia="Times New Roman" w:hAnsi="Times New Roman" w:cs="Times New Roman"/>
                <w:sz w:val="28"/>
                <w:szCs w:val="28"/>
                <w:lang w:eastAsia="lv-LV"/>
              </w:rPr>
              <w:t xml:space="preserve">izņemot komersantus, </w:t>
            </w:r>
            <w:r w:rsidR="00B45D0F" w:rsidRPr="00DB3875">
              <w:rPr>
                <w:rFonts w:ascii="Times New Roman" w:eastAsia="Times New Roman" w:hAnsi="Times New Roman" w:cs="Times New Roman"/>
                <w:sz w:val="28"/>
                <w:szCs w:val="28"/>
                <w:lang w:eastAsia="lv-LV"/>
              </w:rPr>
              <w:t>transferti starp vispārējās valdības struktūrām</w:t>
            </w:r>
            <w:r w:rsidR="004D4B55" w:rsidRPr="00DB3875">
              <w:rPr>
                <w:rFonts w:ascii="Times New Roman" w:eastAsia="Times New Roman" w:hAnsi="Times New Roman" w:cs="Times New Roman"/>
                <w:sz w:val="28"/>
                <w:szCs w:val="28"/>
                <w:lang w:eastAsia="lv-LV"/>
              </w:rPr>
              <w:t>, izņemot komersantus un transferti starp padotības iestādēm.</w:t>
            </w:r>
            <w:r w:rsidR="00CD760E" w:rsidRPr="00DB3875">
              <w:rPr>
                <w:rFonts w:ascii="Times New Roman" w:eastAsia="Times New Roman" w:hAnsi="Times New Roman" w:cs="Times New Roman"/>
                <w:sz w:val="28"/>
                <w:szCs w:val="28"/>
                <w:lang w:eastAsia="lv-LV"/>
              </w:rPr>
              <w:t xml:space="preserve"> Ministru kabineta 2013.gada 10.decembra noteikumi Nr. 1456 „Noteikumi nosaka institucionālo sektoru klasifikāciju” </w:t>
            </w:r>
            <w:r w:rsidR="00403540" w:rsidRPr="00DB3875">
              <w:rPr>
                <w:rFonts w:ascii="Times New Roman" w:eastAsia="Times New Roman" w:hAnsi="Times New Roman" w:cs="Times New Roman"/>
                <w:sz w:val="28"/>
                <w:szCs w:val="28"/>
                <w:lang w:eastAsia="lv-LV"/>
              </w:rPr>
              <w:t xml:space="preserve">nosaka atbilstošu institucionālo sektoru, kas līdz šim nebija atsevišķi ietverts naudas plūsmas pārskatā, pārskatā par darbības finansiālajiem rezultātiem”: </w:t>
            </w:r>
            <w:r w:rsidR="00CD760E" w:rsidRPr="00DB3875">
              <w:rPr>
                <w:rFonts w:ascii="Times New Roman" w:eastAsia="Times New Roman" w:hAnsi="Times New Roman" w:cs="Times New Roman"/>
                <w:sz w:val="28"/>
                <w:szCs w:val="28"/>
                <w:lang w:eastAsia="lv-LV"/>
              </w:rPr>
              <w:t xml:space="preserve"> </w:t>
            </w:r>
            <w:r w:rsidR="00403540" w:rsidRPr="00DB3875">
              <w:rPr>
                <w:rFonts w:ascii="Times New Roman" w:eastAsia="Times New Roman" w:hAnsi="Times New Roman" w:cs="Times New Roman"/>
                <w:sz w:val="28"/>
                <w:szCs w:val="28"/>
                <w:lang w:eastAsia="lv-LV"/>
              </w:rPr>
              <w:t xml:space="preserve">„Valsts budžets  S13 01 90”.  </w:t>
            </w:r>
            <w:r w:rsidRPr="00DB3875">
              <w:rPr>
                <w:rFonts w:ascii="Times New Roman" w:eastAsia="Times New Roman" w:hAnsi="Times New Roman" w:cs="Times New Roman"/>
                <w:sz w:val="28"/>
                <w:szCs w:val="28"/>
                <w:lang w:eastAsia="lv-LV"/>
              </w:rPr>
              <w:t>M</w:t>
            </w:r>
            <w:r w:rsidR="004D4B55" w:rsidRPr="00DB3875">
              <w:rPr>
                <w:rFonts w:ascii="Times New Roman" w:eastAsia="Times New Roman" w:hAnsi="Times New Roman" w:cs="Times New Roman"/>
                <w:sz w:val="28"/>
                <w:szCs w:val="28"/>
                <w:lang w:eastAsia="lv-LV"/>
              </w:rPr>
              <w:t xml:space="preserve">inistru kabineta </w:t>
            </w:r>
            <w:r w:rsidR="00D73441" w:rsidRPr="00DB3875">
              <w:rPr>
                <w:rFonts w:ascii="Times New Roman" w:eastAsia="Times New Roman" w:hAnsi="Times New Roman" w:cs="Times New Roman"/>
                <w:sz w:val="28"/>
                <w:szCs w:val="28"/>
                <w:lang w:eastAsia="lv-LV"/>
              </w:rPr>
              <w:t xml:space="preserve">2005.gada 27.decembra </w:t>
            </w:r>
            <w:r w:rsidR="004D4B55" w:rsidRPr="00DB3875">
              <w:rPr>
                <w:rFonts w:ascii="Times New Roman" w:eastAsia="Times New Roman" w:hAnsi="Times New Roman" w:cs="Times New Roman"/>
                <w:sz w:val="28"/>
                <w:szCs w:val="28"/>
                <w:lang w:eastAsia="lv-LV"/>
              </w:rPr>
              <w:t>noteikumi</w:t>
            </w:r>
            <w:r w:rsidR="00793DF1" w:rsidRPr="00DB3875">
              <w:rPr>
                <w:rFonts w:ascii="Times New Roman" w:eastAsia="Times New Roman" w:hAnsi="Times New Roman" w:cs="Times New Roman"/>
                <w:sz w:val="28"/>
                <w:szCs w:val="28"/>
                <w:lang w:eastAsia="lv-LV"/>
              </w:rPr>
              <w:t xml:space="preserve"> Nr.1031 „Noteikumi par</w:t>
            </w:r>
            <w:r w:rsidR="004D4B55" w:rsidRPr="00DB3875">
              <w:rPr>
                <w:rFonts w:ascii="Times New Roman" w:eastAsia="Times New Roman" w:hAnsi="Times New Roman" w:cs="Times New Roman"/>
                <w:sz w:val="28"/>
                <w:szCs w:val="28"/>
                <w:lang w:eastAsia="lv-LV"/>
              </w:rPr>
              <w:t xml:space="preserve"> budžeta izdevumu klasifikāciju atbilstoši ekonomiskajām kategorijām</w:t>
            </w:r>
            <w:r w:rsidR="00793DF1" w:rsidRPr="00DB3875">
              <w:rPr>
                <w:rFonts w:ascii="Times New Roman" w:eastAsia="Times New Roman" w:hAnsi="Times New Roman" w:cs="Times New Roman"/>
                <w:sz w:val="28"/>
                <w:szCs w:val="28"/>
                <w:lang w:eastAsia="lv-LV"/>
              </w:rPr>
              <w:t>” paredz</w:t>
            </w:r>
            <w:r w:rsidRPr="00DB3875">
              <w:rPr>
                <w:rFonts w:ascii="Times New Roman" w:eastAsia="Times New Roman" w:hAnsi="Times New Roman" w:cs="Times New Roman"/>
                <w:sz w:val="28"/>
                <w:szCs w:val="28"/>
                <w:lang w:eastAsia="lv-LV"/>
              </w:rPr>
              <w:t xml:space="preserve"> arī transfert</w:t>
            </w:r>
            <w:r w:rsidR="00793DF1" w:rsidRPr="00DB3875">
              <w:rPr>
                <w:rFonts w:ascii="Times New Roman" w:eastAsia="Times New Roman" w:hAnsi="Times New Roman" w:cs="Times New Roman"/>
                <w:sz w:val="28"/>
                <w:szCs w:val="28"/>
                <w:lang w:eastAsia="lv-LV"/>
              </w:rPr>
              <w:t>u</w:t>
            </w:r>
            <w:r w:rsidRPr="00DB3875">
              <w:rPr>
                <w:rFonts w:ascii="Times New Roman" w:eastAsia="Times New Roman" w:hAnsi="Times New Roman" w:cs="Times New Roman"/>
                <w:sz w:val="28"/>
                <w:szCs w:val="28"/>
                <w:lang w:eastAsia="lv-LV"/>
              </w:rPr>
              <w:t>s uz valsts budžetu. Lai nodrošinātu datu korektu u</w:t>
            </w:r>
            <w:r w:rsidR="004D4B55" w:rsidRPr="00DB3875">
              <w:rPr>
                <w:rFonts w:ascii="Times New Roman" w:eastAsia="Times New Roman" w:hAnsi="Times New Roman" w:cs="Times New Roman"/>
                <w:sz w:val="28"/>
                <w:szCs w:val="28"/>
                <w:lang w:eastAsia="lv-LV"/>
              </w:rPr>
              <w:t>n atbilstošu uzrādīšanu pārskatos</w:t>
            </w:r>
            <w:r w:rsidRPr="00DB3875">
              <w:rPr>
                <w:rFonts w:ascii="Times New Roman" w:eastAsia="Times New Roman" w:hAnsi="Times New Roman" w:cs="Times New Roman"/>
                <w:sz w:val="28"/>
                <w:szCs w:val="28"/>
                <w:lang w:eastAsia="lv-LV"/>
              </w:rPr>
              <w:t xml:space="preserve">, </w:t>
            </w:r>
            <w:r w:rsidR="004D4B55" w:rsidRPr="00DB3875">
              <w:rPr>
                <w:rFonts w:ascii="Times New Roman" w:eastAsia="Times New Roman" w:hAnsi="Times New Roman" w:cs="Times New Roman"/>
                <w:sz w:val="28"/>
                <w:szCs w:val="28"/>
                <w:lang w:eastAsia="lv-LV"/>
              </w:rPr>
              <w:t xml:space="preserve">veidlapas </w:t>
            </w:r>
            <w:r w:rsidR="00E8251A" w:rsidRPr="00DB3875">
              <w:rPr>
                <w:rFonts w:ascii="Times New Roman" w:eastAsia="Times New Roman" w:hAnsi="Times New Roman" w:cs="Times New Roman"/>
                <w:sz w:val="28"/>
                <w:szCs w:val="28"/>
                <w:lang w:eastAsia="lv-LV"/>
              </w:rPr>
              <w:t xml:space="preserve">4-3 </w:t>
            </w:r>
            <w:r w:rsidR="004D4B55" w:rsidRPr="00DB3875">
              <w:rPr>
                <w:rFonts w:ascii="Times New Roman" w:eastAsia="Times New Roman" w:hAnsi="Times New Roman" w:cs="Times New Roman"/>
                <w:sz w:val="28"/>
                <w:szCs w:val="28"/>
                <w:lang w:eastAsia="lv-LV"/>
              </w:rPr>
              <w:t xml:space="preserve">„Pārskats par darbības finansiālajiem rezultātiem </w:t>
            </w:r>
            <w:r w:rsidR="00E8251A" w:rsidRPr="00DB3875">
              <w:rPr>
                <w:rFonts w:ascii="Times New Roman" w:eastAsia="Times New Roman" w:hAnsi="Times New Roman" w:cs="Times New Roman"/>
                <w:sz w:val="28"/>
                <w:szCs w:val="28"/>
                <w:lang w:eastAsia="lv-LV"/>
              </w:rPr>
              <w:t xml:space="preserve">un 2-NP </w:t>
            </w:r>
            <w:r w:rsidR="004D4B55" w:rsidRPr="00DB3875">
              <w:rPr>
                <w:rFonts w:ascii="Times New Roman" w:eastAsia="Times New Roman" w:hAnsi="Times New Roman" w:cs="Times New Roman"/>
                <w:sz w:val="28"/>
                <w:szCs w:val="28"/>
                <w:lang w:eastAsia="lv-LV"/>
              </w:rPr>
              <w:t xml:space="preserve">„Naudas plūsmas pārskats” </w:t>
            </w:r>
            <w:r w:rsidR="00E8251A" w:rsidRPr="00DB3875">
              <w:rPr>
                <w:rFonts w:ascii="Times New Roman" w:eastAsia="Times New Roman" w:hAnsi="Times New Roman" w:cs="Times New Roman"/>
                <w:sz w:val="28"/>
                <w:szCs w:val="28"/>
                <w:lang w:eastAsia="lv-LV"/>
              </w:rPr>
              <w:t>papildināt</w:t>
            </w:r>
            <w:r w:rsidRPr="00DB3875">
              <w:rPr>
                <w:rFonts w:ascii="Times New Roman" w:eastAsia="Times New Roman" w:hAnsi="Times New Roman" w:cs="Times New Roman"/>
                <w:sz w:val="28"/>
                <w:szCs w:val="28"/>
                <w:lang w:eastAsia="lv-LV"/>
              </w:rPr>
              <w:t>a</w:t>
            </w:r>
            <w:r w:rsidR="00E8251A" w:rsidRPr="00DB3875">
              <w:rPr>
                <w:rFonts w:ascii="Times New Roman" w:eastAsia="Times New Roman" w:hAnsi="Times New Roman" w:cs="Times New Roman"/>
                <w:sz w:val="28"/>
                <w:szCs w:val="28"/>
                <w:lang w:eastAsia="lv-LV"/>
              </w:rPr>
              <w:t>s ar rindu „transferts valsts budžetam”</w:t>
            </w:r>
            <w:r w:rsidR="004D4B55" w:rsidRPr="00DB3875">
              <w:rPr>
                <w:rFonts w:ascii="Times New Roman" w:eastAsia="Times New Roman" w:hAnsi="Times New Roman" w:cs="Times New Roman"/>
                <w:sz w:val="28"/>
                <w:szCs w:val="28"/>
                <w:lang w:eastAsia="lv-LV"/>
              </w:rPr>
              <w:t>.</w:t>
            </w:r>
          </w:p>
          <w:p w:rsidR="00D935C4" w:rsidRPr="00DB3875" w:rsidRDefault="00807AD0" w:rsidP="004B38E6">
            <w:pPr>
              <w:pStyle w:val="ListParagraph"/>
              <w:numPr>
                <w:ilvl w:val="0"/>
                <w:numId w:val="9"/>
              </w:numPr>
              <w:spacing w:line="240" w:lineRule="auto"/>
              <w:ind w:left="0" w:firstLine="360"/>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Gada pārskata veidlapas paredz papildus informācijas apkopošanu</w:t>
            </w:r>
            <w:r w:rsidR="0035390F" w:rsidRPr="00DB3875">
              <w:rPr>
                <w:rFonts w:ascii="Times New Roman" w:eastAsia="Times New Roman" w:hAnsi="Times New Roman" w:cs="Times New Roman"/>
                <w:sz w:val="28"/>
                <w:szCs w:val="28"/>
                <w:lang w:eastAsia="lv-LV"/>
              </w:rPr>
              <w:t xml:space="preserve"> veidlapas paskaidrojumu sadaļā klasificētā formā, kā arī </w:t>
            </w:r>
            <w:r w:rsidR="00E47E8A" w:rsidRPr="00DB3875">
              <w:rPr>
                <w:rFonts w:ascii="Times New Roman" w:eastAsia="Times New Roman" w:hAnsi="Times New Roman" w:cs="Times New Roman"/>
                <w:sz w:val="28"/>
                <w:szCs w:val="28"/>
                <w:lang w:eastAsia="lv-LV"/>
              </w:rPr>
              <w:t>paredz iespēju</w:t>
            </w:r>
            <w:r w:rsidR="0035390F" w:rsidRPr="00DB3875">
              <w:rPr>
                <w:rFonts w:ascii="Times New Roman" w:eastAsia="Times New Roman" w:hAnsi="Times New Roman" w:cs="Times New Roman"/>
                <w:sz w:val="28"/>
                <w:szCs w:val="28"/>
                <w:lang w:eastAsia="lv-LV"/>
              </w:rPr>
              <w:t xml:space="preserve"> pārskata sagatavotājam ierakstīt savu darījuma skaidrojumu. </w:t>
            </w:r>
            <w:r w:rsidRPr="00DB3875">
              <w:rPr>
                <w:rFonts w:ascii="Times New Roman" w:eastAsia="Times New Roman" w:hAnsi="Times New Roman" w:cs="Times New Roman"/>
                <w:sz w:val="28"/>
                <w:szCs w:val="28"/>
                <w:lang w:eastAsia="lv-LV"/>
              </w:rPr>
              <w:t xml:space="preserve">Sagatavojot </w:t>
            </w:r>
            <w:r w:rsidR="00403540" w:rsidRPr="00DB3875">
              <w:rPr>
                <w:rFonts w:ascii="Times New Roman" w:eastAsia="Times New Roman" w:hAnsi="Times New Roman" w:cs="Times New Roman"/>
                <w:sz w:val="28"/>
                <w:szCs w:val="28"/>
                <w:lang w:eastAsia="lv-LV"/>
              </w:rPr>
              <w:t>v</w:t>
            </w:r>
            <w:r w:rsidRPr="00DB3875">
              <w:rPr>
                <w:rFonts w:ascii="Times New Roman" w:eastAsia="Times New Roman" w:hAnsi="Times New Roman" w:cs="Times New Roman"/>
                <w:sz w:val="28"/>
                <w:szCs w:val="28"/>
                <w:lang w:eastAsia="lv-LV"/>
              </w:rPr>
              <w:t xml:space="preserve">alsts un pašvaldību iestāžu gada pārskatu kopsavilkumus, papildus skaidrojumu rindās esošās informācijas apjoms ir ļoti liels un nepārskatāms. </w:t>
            </w:r>
            <w:r w:rsidR="00E8251A" w:rsidRPr="00DB3875">
              <w:rPr>
                <w:rFonts w:ascii="Times New Roman" w:eastAsia="Times New Roman" w:hAnsi="Times New Roman" w:cs="Times New Roman"/>
                <w:sz w:val="28"/>
                <w:szCs w:val="28"/>
                <w:lang w:eastAsia="lv-LV"/>
              </w:rPr>
              <w:t>Ņemot vērā iepriekšējos gada pārskatos veidlapās</w:t>
            </w:r>
            <w:r w:rsidR="003C7FDF" w:rsidRPr="00DB3875">
              <w:rPr>
                <w:rFonts w:ascii="Times New Roman" w:eastAsia="Times New Roman" w:hAnsi="Times New Roman" w:cs="Times New Roman"/>
                <w:sz w:val="28"/>
                <w:szCs w:val="28"/>
                <w:lang w:eastAsia="lv-LV"/>
              </w:rPr>
              <w:t xml:space="preserve"> </w:t>
            </w:r>
            <w:r w:rsidR="00351805" w:rsidRPr="00DB3875">
              <w:rPr>
                <w:rFonts w:ascii="Times New Roman" w:eastAsia="Times New Roman" w:hAnsi="Times New Roman" w:cs="Times New Roman"/>
                <w:sz w:val="28"/>
                <w:szCs w:val="28"/>
                <w:lang w:eastAsia="lv-LV"/>
              </w:rPr>
              <w:t xml:space="preserve">Nr. </w:t>
            </w:r>
            <w:r w:rsidR="00351805" w:rsidRPr="00DB3875">
              <w:rPr>
                <w:rFonts w:ascii="Times New Roman" w:hAnsi="Times New Roman" w:cs="Times New Roman"/>
                <w:sz w:val="28"/>
                <w:szCs w:val="28"/>
              </w:rPr>
              <w:t>4-3 „Pārskats par darbības finansiālajiem rezultātiem”,</w:t>
            </w:r>
            <w:r w:rsidR="00351805" w:rsidRPr="00DB3875">
              <w:rPr>
                <w:rFonts w:ascii="Times New Roman" w:eastAsia="Times New Roman" w:hAnsi="Times New Roman" w:cs="Times New Roman"/>
                <w:sz w:val="28"/>
                <w:szCs w:val="28"/>
                <w:lang w:eastAsia="lv-LV"/>
              </w:rPr>
              <w:t xml:space="preserve"> Nr.</w:t>
            </w:r>
            <w:r w:rsidR="00351805" w:rsidRPr="00DB3875">
              <w:rPr>
                <w:rFonts w:ascii="Times New Roman" w:hAnsi="Times New Roman" w:cs="Times New Roman"/>
                <w:sz w:val="28"/>
                <w:szCs w:val="28"/>
              </w:rPr>
              <w:t xml:space="preserve"> 2-NP „Naudas plūsmas pārskats”,</w:t>
            </w:r>
            <w:r w:rsidR="00351805" w:rsidRPr="00DB3875">
              <w:rPr>
                <w:rFonts w:ascii="Times New Roman" w:eastAsia="Times New Roman" w:hAnsi="Times New Roman" w:cs="Times New Roman"/>
                <w:sz w:val="28"/>
                <w:szCs w:val="28"/>
                <w:lang w:eastAsia="lv-LV"/>
              </w:rPr>
              <w:t xml:space="preserve"> Nr.</w:t>
            </w:r>
            <w:r w:rsidR="00351805" w:rsidRPr="00DB3875">
              <w:rPr>
                <w:rFonts w:ascii="Times New Roman" w:hAnsi="Times New Roman" w:cs="Times New Roman"/>
                <w:sz w:val="28"/>
                <w:szCs w:val="28"/>
              </w:rPr>
              <w:t xml:space="preserve"> 1-1 „Naudas līdzekļu atlikumu izvietojums”, </w:t>
            </w:r>
            <w:r w:rsidR="00351805" w:rsidRPr="00DB3875">
              <w:rPr>
                <w:rFonts w:ascii="Times New Roman" w:eastAsia="Times New Roman" w:hAnsi="Times New Roman" w:cs="Times New Roman"/>
                <w:sz w:val="28"/>
                <w:szCs w:val="28"/>
                <w:lang w:eastAsia="lv-LV"/>
              </w:rPr>
              <w:t xml:space="preserve">Nr. </w:t>
            </w:r>
            <w:r w:rsidR="00351805" w:rsidRPr="00DB3875">
              <w:rPr>
                <w:rFonts w:ascii="Times New Roman" w:hAnsi="Times New Roman" w:cs="Times New Roman"/>
                <w:sz w:val="28"/>
                <w:szCs w:val="28"/>
              </w:rPr>
              <w:t>8</w:t>
            </w:r>
            <w:r w:rsidR="00351805" w:rsidRPr="00DB3875">
              <w:rPr>
                <w:rStyle w:val="st1"/>
                <w:rFonts w:ascii="Times New Roman" w:hAnsi="Times New Roman" w:cs="Times New Roman"/>
                <w:sz w:val="28"/>
                <w:szCs w:val="28"/>
              </w:rPr>
              <w:t xml:space="preserve">-AV „Pārskats par nākamo periodu izdevumiem un avansu maksājumiem”, </w:t>
            </w:r>
            <w:r w:rsidR="00351805" w:rsidRPr="00DB3875">
              <w:rPr>
                <w:rFonts w:ascii="Times New Roman" w:eastAsia="Times New Roman" w:hAnsi="Times New Roman" w:cs="Times New Roman"/>
                <w:sz w:val="28"/>
                <w:szCs w:val="28"/>
                <w:lang w:eastAsia="lv-LV"/>
              </w:rPr>
              <w:t xml:space="preserve">Nr. </w:t>
            </w:r>
            <w:r w:rsidR="00351805" w:rsidRPr="00DB3875">
              <w:rPr>
                <w:rStyle w:val="st1"/>
                <w:rFonts w:ascii="Times New Roman" w:hAnsi="Times New Roman" w:cs="Times New Roman"/>
                <w:sz w:val="28"/>
                <w:szCs w:val="28"/>
              </w:rPr>
              <w:t>8-2 „Pārskats par saistībām” un</w:t>
            </w:r>
            <w:r w:rsidR="00351805" w:rsidRPr="00DB3875">
              <w:rPr>
                <w:rFonts w:ascii="Times New Roman" w:eastAsia="Times New Roman" w:hAnsi="Times New Roman" w:cs="Times New Roman"/>
                <w:sz w:val="28"/>
                <w:szCs w:val="28"/>
                <w:lang w:eastAsia="lv-LV"/>
              </w:rPr>
              <w:t xml:space="preserve"> Nr. </w:t>
            </w:r>
            <w:r w:rsidR="00351805" w:rsidRPr="00DB3875">
              <w:rPr>
                <w:rFonts w:ascii="Times New Roman" w:hAnsi="Times New Roman" w:cs="Times New Roman"/>
                <w:sz w:val="28"/>
                <w:szCs w:val="28"/>
              </w:rPr>
              <w:t xml:space="preserve">2-DII „Pārskats par dažādiem </w:t>
            </w:r>
            <w:r w:rsidR="00351805" w:rsidRPr="00DB3875">
              <w:rPr>
                <w:rFonts w:ascii="Times New Roman" w:hAnsi="Times New Roman" w:cs="Times New Roman"/>
                <w:sz w:val="28"/>
                <w:szCs w:val="28"/>
              </w:rPr>
              <w:lastRenderedPageBreak/>
              <w:t>ieņēmumiem un izdevumiem”</w:t>
            </w:r>
            <w:r w:rsidR="00351805" w:rsidRPr="00DB3875">
              <w:rPr>
                <w:rStyle w:val="st1"/>
                <w:rFonts w:ascii="Times New Roman" w:hAnsi="Times New Roman" w:cs="Times New Roman"/>
                <w:sz w:val="28"/>
                <w:szCs w:val="28"/>
              </w:rPr>
              <w:t xml:space="preserve"> </w:t>
            </w:r>
            <w:r w:rsidR="00E8251A" w:rsidRPr="00DB3875">
              <w:rPr>
                <w:rFonts w:ascii="Times New Roman" w:eastAsia="Times New Roman" w:hAnsi="Times New Roman" w:cs="Times New Roman"/>
                <w:sz w:val="28"/>
                <w:szCs w:val="28"/>
                <w:lang w:eastAsia="lv-LV"/>
              </w:rPr>
              <w:t>norādīto i</w:t>
            </w:r>
            <w:r w:rsidRPr="00DB3875">
              <w:rPr>
                <w:rFonts w:ascii="Times New Roman" w:eastAsia="Times New Roman" w:hAnsi="Times New Roman" w:cs="Times New Roman"/>
                <w:sz w:val="28"/>
                <w:szCs w:val="28"/>
                <w:lang w:eastAsia="lv-LV"/>
              </w:rPr>
              <w:t>nformāciju, paskaidrojumu sadaļa</w:t>
            </w:r>
            <w:r w:rsidR="00E8251A" w:rsidRPr="00DB3875">
              <w:rPr>
                <w:rFonts w:ascii="Times New Roman" w:eastAsia="Times New Roman" w:hAnsi="Times New Roman" w:cs="Times New Roman"/>
                <w:sz w:val="28"/>
                <w:szCs w:val="28"/>
                <w:lang w:eastAsia="lv-LV"/>
              </w:rPr>
              <w:t>s papildinātas ar</w:t>
            </w:r>
            <w:r w:rsidRPr="00DB3875">
              <w:rPr>
                <w:rFonts w:ascii="Times New Roman" w:eastAsia="Times New Roman" w:hAnsi="Times New Roman" w:cs="Times New Roman"/>
                <w:sz w:val="28"/>
                <w:szCs w:val="28"/>
                <w:lang w:eastAsia="lv-LV"/>
              </w:rPr>
              <w:t xml:space="preserve"> jaunām</w:t>
            </w:r>
            <w:r w:rsidR="00C5373D" w:rsidRPr="00DB3875">
              <w:rPr>
                <w:rFonts w:ascii="Times New Roman" w:eastAsia="Times New Roman" w:hAnsi="Times New Roman" w:cs="Times New Roman"/>
                <w:sz w:val="28"/>
                <w:szCs w:val="28"/>
                <w:lang w:eastAsia="lv-LV"/>
              </w:rPr>
              <w:t xml:space="preserve"> klasificētām</w:t>
            </w:r>
            <w:r w:rsidRPr="00DB3875">
              <w:rPr>
                <w:rFonts w:ascii="Times New Roman" w:eastAsia="Times New Roman" w:hAnsi="Times New Roman" w:cs="Times New Roman"/>
                <w:sz w:val="28"/>
                <w:szCs w:val="28"/>
                <w:lang w:eastAsia="lv-LV"/>
              </w:rPr>
              <w:t xml:space="preserve"> skaidrojumu rindām</w:t>
            </w:r>
            <w:r w:rsidR="00E8251A" w:rsidRPr="00DB3875">
              <w:rPr>
                <w:rFonts w:ascii="Times New Roman" w:eastAsia="Times New Roman" w:hAnsi="Times New Roman" w:cs="Times New Roman"/>
                <w:sz w:val="28"/>
                <w:szCs w:val="28"/>
                <w:lang w:eastAsia="lv-LV"/>
              </w:rPr>
              <w:t>, lai nodrošinātu klasificētas informācijas uzrādīšanu un atvieglotu informācijas apkopošanu</w:t>
            </w:r>
            <w:r w:rsidR="006240C8" w:rsidRPr="00DB3875">
              <w:rPr>
                <w:rFonts w:ascii="Times New Roman" w:eastAsia="Times New Roman" w:hAnsi="Times New Roman" w:cs="Times New Roman"/>
                <w:sz w:val="28"/>
                <w:szCs w:val="28"/>
                <w:lang w:eastAsia="lv-LV"/>
              </w:rPr>
              <w:t xml:space="preserve"> nozares līmenī un </w:t>
            </w:r>
            <w:r w:rsidR="00E8251A" w:rsidRPr="00DB3875">
              <w:rPr>
                <w:rFonts w:ascii="Times New Roman" w:eastAsia="Times New Roman" w:hAnsi="Times New Roman" w:cs="Times New Roman"/>
                <w:sz w:val="28"/>
                <w:szCs w:val="28"/>
                <w:lang w:eastAsia="lv-LV"/>
              </w:rPr>
              <w:t xml:space="preserve">sagatavojot </w:t>
            </w:r>
            <w:r w:rsidR="006240C8" w:rsidRPr="00DB3875">
              <w:rPr>
                <w:rFonts w:ascii="Times New Roman" w:eastAsia="Times New Roman" w:hAnsi="Times New Roman" w:cs="Times New Roman"/>
                <w:sz w:val="28"/>
                <w:szCs w:val="28"/>
                <w:lang w:eastAsia="lv-LV"/>
              </w:rPr>
              <w:t xml:space="preserve">Latvijas Republikas </w:t>
            </w:r>
            <w:r w:rsidR="00E8251A" w:rsidRPr="00DB3875">
              <w:rPr>
                <w:rFonts w:ascii="Times New Roman" w:eastAsia="Times New Roman" w:hAnsi="Times New Roman" w:cs="Times New Roman"/>
                <w:sz w:val="28"/>
                <w:szCs w:val="28"/>
                <w:lang w:eastAsia="lv-LV"/>
              </w:rPr>
              <w:t>saimnieciskā gada pārskatu par valsts budžeta izpildi un par pašvaldību budžetiem.</w:t>
            </w:r>
          </w:p>
          <w:p w:rsidR="00D935C4" w:rsidRPr="00DB3875" w:rsidRDefault="00A44BE1" w:rsidP="004B38E6">
            <w:pPr>
              <w:pStyle w:val="ListParagraph"/>
              <w:numPr>
                <w:ilvl w:val="0"/>
                <w:numId w:val="9"/>
              </w:numPr>
              <w:spacing w:line="240" w:lineRule="auto"/>
              <w:ind w:left="0" w:firstLine="360"/>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Spēkā esošā noteikumu norma ne</w:t>
            </w:r>
            <w:r w:rsidR="00CF6010" w:rsidRPr="00DB3875">
              <w:rPr>
                <w:rFonts w:ascii="Times New Roman" w:eastAsia="Times New Roman" w:hAnsi="Times New Roman" w:cs="Times New Roman"/>
                <w:sz w:val="28"/>
                <w:szCs w:val="28"/>
                <w:lang w:eastAsia="lv-LV"/>
              </w:rPr>
              <w:t>nosaka</w:t>
            </w:r>
            <w:r w:rsidRPr="00DB3875">
              <w:rPr>
                <w:rFonts w:ascii="Times New Roman" w:eastAsia="Times New Roman" w:hAnsi="Times New Roman" w:cs="Times New Roman"/>
                <w:sz w:val="28"/>
                <w:szCs w:val="28"/>
                <w:lang w:eastAsia="lv-LV"/>
              </w:rPr>
              <w:t xml:space="preserve"> kā uzrādīt 62.resora "Mērķdotācijas pašvaldībām" attiecīgās programmas (apakšprogrammas) un 64.resora "Dotācija pašvaldībām attiecīgās programmas (apakšprogrammas)  datus. Ar noteikuma grozījumiem noteikts, ka 62.</w:t>
            </w:r>
            <w:r w:rsidR="00CF6010" w:rsidRPr="00DB3875">
              <w:rPr>
                <w:rFonts w:ascii="Times New Roman" w:eastAsia="Times New Roman" w:hAnsi="Times New Roman" w:cs="Times New Roman"/>
                <w:sz w:val="28"/>
                <w:szCs w:val="28"/>
                <w:lang w:eastAsia="lv-LV"/>
              </w:rPr>
              <w:t xml:space="preserve"> </w:t>
            </w:r>
            <w:r w:rsidR="00403540" w:rsidRPr="00DB3875">
              <w:rPr>
                <w:rFonts w:ascii="Times New Roman" w:eastAsia="Times New Roman" w:hAnsi="Times New Roman" w:cs="Times New Roman"/>
                <w:sz w:val="28"/>
                <w:szCs w:val="28"/>
                <w:lang w:eastAsia="lv-LV"/>
              </w:rPr>
              <w:t>u</w:t>
            </w:r>
            <w:r w:rsidR="00CF6010" w:rsidRPr="00DB3875">
              <w:rPr>
                <w:rFonts w:ascii="Times New Roman" w:eastAsia="Times New Roman" w:hAnsi="Times New Roman" w:cs="Times New Roman"/>
                <w:sz w:val="28"/>
                <w:szCs w:val="28"/>
                <w:lang w:eastAsia="lv-LV"/>
              </w:rPr>
              <w:t>n 64.</w:t>
            </w:r>
            <w:r w:rsidRPr="00DB3875">
              <w:rPr>
                <w:rFonts w:ascii="Times New Roman" w:eastAsia="Times New Roman" w:hAnsi="Times New Roman" w:cs="Times New Roman"/>
                <w:sz w:val="28"/>
                <w:szCs w:val="28"/>
                <w:lang w:eastAsia="lv-LV"/>
              </w:rPr>
              <w:t>resora datus par darījumiem pēc uzkrāšanas principa norāda pie ministrijas un citas centrālās valsts iestādes pamatdarbības izpildes programmas (apakšprogrammas).</w:t>
            </w:r>
          </w:p>
          <w:p w:rsidR="001F3D8F" w:rsidRPr="00DB3875" w:rsidRDefault="0096758F" w:rsidP="004B38E6">
            <w:pPr>
              <w:pStyle w:val="ListParagraph"/>
              <w:numPr>
                <w:ilvl w:val="0"/>
                <w:numId w:val="9"/>
              </w:numPr>
              <w:spacing w:line="240" w:lineRule="auto"/>
              <w:ind w:left="0" w:firstLine="360"/>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 xml:space="preserve"> </w:t>
            </w:r>
            <w:r w:rsidR="001F3D8F" w:rsidRPr="00DB3875">
              <w:rPr>
                <w:rFonts w:ascii="Times New Roman" w:eastAsia="Times New Roman" w:hAnsi="Times New Roman" w:cs="Times New Roman"/>
                <w:sz w:val="28"/>
                <w:szCs w:val="28"/>
                <w:lang w:eastAsia="lv-LV"/>
              </w:rPr>
              <w:t xml:space="preserve">Apkopojot 2014.gada pārskatus, apzinātas neskaidrības pārskatu aizpildīšanā un neprecizitātes datu uzrādīšanā pārskatos. </w:t>
            </w:r>
            <w:r w:rsidR="00232E8D" w:rsidRPr="00DB3875">
              <w:rPr>
                <w:rFonts w:ascii="Times New Roman" w:eastAsia="Times New Roman" w:hAnsi="Times New Roman" w:cs="Times New Roman"/>
                <w:sz w:val="28"/>
                <w:szCs w:val="28"/>
                <w:lang w:eastAsia="lv-LV"/>
              </w:rPr>
              <w:t>Noteikumu grozījumi nosaka:</w:t>
            </w:r>
          </w:p>
          <w:p w:rsidR="00232E8D" w:rsidRPr="00DB3875" w:rsidRDefault="00232E8D" w:rsidP="00706BEC">
            <w:pPr>
              <w:pStyle w:val="ListParagraph"/>
              <w:numPr>
                <w:ilvl w:val="0"/>
                <w:numId w:val="6"/>
              </w:numPr>
              <w:spacing w:after="0" w:line="240" w:lineRule="auto"/>
              <w:ind w:left="369"/>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v</w:t>
            </w:r>
            <w:r w:rsidR="000D482E" w:rsidRPr="00DB3875">
              <w:rPr>
                <w:rFonts w:ascii="Times New Roman" w:eastAsia="Times New Roman" w:hAnsi="Times New Roman" w:cs="Times New Roman"/>
                <w:sz w:val="28"/>
                <w:szCs w:val="28"/>
                <w:lang w:eastAsia="lv-LV"/>
              </w:rPr>
              <w:t>eidlapa</w:t>
            </w:r>
            <w:r w:rsidRPr="00DB3875">
              <w:rPr>
                <w:rFonts w:ascii="Times New Roman" w:eastAsia="Times New Roman" w:hAnsi="Times New Roman" w:cs="Times New Roman"/>
                <w:sz w:val="28"/>
                <w:szCs w:val="28"/>
                <w:lang w:eastAsia="lv-LV"/>
              </w:rPr>
              <w:t>s</w:t>
            </w:r>
            <w:r w:rsidR="000D482E" w:rsidRPr="00DB3875">
              <w:rPr>
                <w:rFonts w:ascii="Times New Roman" w:eastAsia="Times New Roman" w:hAnsi="Times New Roman" w:cs="Times New Roman"/>
                <w:sz w:val="28"/>
                <w:szCs w:val="28"/>
                <w:lang w:eastAsia="lv-LV"/>
              </w:rPr>
              <w:t xml:space="preserve"> Nr.4-1 "Pašu kapitāla (neto aktīva) izmaiņu pārskats"</w:t>
            </w:r>
            <w:r w:rsidR="000D482E" w:rsidRPr="00DB3875">
              <w:t xml:space="preserve"> </w:t>
            </w:r>
            <w:r w:rsidR="000D482E" w:rsidRPr="00DB3875">
              <w:rPr>
                <w:rFonts w:ascii="Times New Roman" w:eastAsia="Times New Roman" w:hAnsi="Times New Roman" w:cs="Times New Roman"/>
                <w:sz w:val="28"/>
                <w:szCs w:val="28"/>
                <w:lang w:eastAsia="lv-LV"/>
              </w:rPr>
              <w:t>skaidrojum</w:t>
            </w:r>
            <w:r w:rsidRPr="00DB3875">
              <w:rPr>
                <w:rFonts w:ascii="Times New Roman" w:eastAsia="Times New Roman" w:hAnsi="Times New Roman" w:cs="Times New Roman"/>
                <w:sz w:val="28"/>
                <w:szCs w:val="28"/>
                <w:lang w:eastAsia="lv-LV"/>
              </w:rPr>
              <w:t>u</w:t>
            </w:r>
            <w:r w:rsidR="000D482E" w:rsidRPr="00DB3875">
              <w:rPr>
                <w:rFonts w:ascii="Times New Roman" w:eastAsia="Times New Roman" w:hAnsi="Times New Roman" w:cs="Times New Roman"/>
                <w:sz w:val="28"/>
                <w:szCs w:val="28"/>
                <w:lang w:eastAsia="lv-LV"/>
              </w:rPr>
              <w:t xml:space="preserve"> par  ailē "Citas izmaiņas (+,–)" norādāmo informāciju, ja iestāde pārskata periodā pārņem likvidētās iestādes aktīvus un pasīvus;</w:t>
            </w:r>
          </w:p>
          <w:p w:rsidR="00232E8D" w:rsidRPr="00DB3875" w:rsidRDefault="00232E8D" w:rsidP="00706BEC">
            <w:pPr>
              <w:pStyle w:val="ListParagraph"/>
              <w:numPr>
                <w:ilvl w:val="0"/>
                <w:numId w:val="6"/>
              </w:numPr>
              <w:spacing w:after="0" w:line="240" w:lineRule="auto"/>
              <w:ind w:left="369"/>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v</w:t>
            </w:r>
            <w:r w:rsidR="006474DC" w:rsidRPr="00DB3875">
              <w:rPr>
                <w:rFonts w:ascii="Times New Roman" w:eastAsia="Times New Roman" w:hAnsi="Times New Roman" w:cs="Times New Roman"/>
                <w:sz w:val="28"/>
                <w:szCs w:val="28"/>
                <w:lang w:eastAsia="lv-LV"/>
              </w:rPr>
              <w:t>eidlapa</w:t>
            </w:r>
            <w:r w:rsidRPr="00DB3875">
              <w:rPr>
                <w:rFonts w:ascii="Times New Roman" w:eastAsia="Times New Roman" w:hAnsi="Times New Roman" w:cs="Times New Roman"/>
                <w:sz w:val="28"/>
                <w:szCs w:val="28"/>
                <w:lang w:eastAsia="lv-LV"/>
              </w:rPr>
              <w:t>s</w:t>
            </w:r>
            <w:r w:rsidR="006474DC" w:rsidRPr="00DB3875">
              <w:rPr>
                <w:rFonts w:ascii="Times New Roman" w:eastAsia="Times New Roman" w:hAnsi="Times New Roman" w:cs="Times New Roman"/>
                <w:sz w:val="28"/>
                <w:szCs w:val="28"/>
                <w:lang w:eastAsia="lv-LV"/>
              </w:rPr>
              <w:t xml:space="preserve"> Nr.6 "Krājumu izmaiņu pārskats" skaidrojums par ailē "Sākotnējā vērtība/sākotnējā atzīšana (+)/izslēgšana (–): sākotnējā atzīšana un inventarizācijas rezultāti (+,–)" </w:t>
            </w:r>
            <w:r w:rsidR="00C853D3" w:rsidRPr="00DB3875">
              <w:rPr>
                <w:rFonts w:ascii="Times New Roman" w:eastAsia="Times New Roman" w:hAnsi="Times New Roman" w:cs="Times New Roman"/>
                <w:sz w:val="28"/>
                <w:szCs w:val="28"/>
                <w:lang w:eastAsia="lv-LV"/>
              </w:rPr>
              <w:t>starpības</w:t>
            </w:r>
            <w:r w:rsidR="006474DC" w:rsidRPr="00DB3875">
              <w:rPr>
                <w:rFonts w:ascii="Times New Roman" w:eastAsia="Times New Roman" w:hAnsi="Times New Roman" w:cs="Times New Roman"/>
                <w:sz w:val="28"/>
                <w:szCs w:val="28"/>
                <w:lang w:eastAsia="lv-LV"/>
              </w:rPr>
              <w:t xml:space="preserve"> atzīšanu, ja pārskata perioda beigās </w:t>
            </w:r>
            <w:r w:rsidR="00403540" w:rsidRPr="00DB3875">
              <w:rPr>
                <w:rFonts w:ascii="Times New Roman" w:eastAsia="Times New Roman" w:hAnsi="Times New Roman" w:cs="Times New Roman"/>
                <w:sz w:val="28"/>
                <w:szCs w:val="28"/>
                <w:lang w:eastAsia="lv-LV"/>
              </w:rPr>
              <w:t xml:space="preserve">krājumiem </w:t>
            </w:r>
            <w:r w:rsidR="006474DC" w:rsidRPr="00DB3875">
              <w:rPr>
                <w:rFonts w:ascii="Times New Roman" w:eastAsia="Times New Roman" w:hAnsi="Times New Roman" w:cs="Times New Roman"/>
                <w:sz w:val="28"/>
                <w:szCs w:val="28"/>
                <w:lang w:eastAsia="lv-LV"/>
              </w:rPr>
              <w:t>noteiktas aizstāšanas izmaksa</w:t>
            </w:r>
            <w:r w:rsidR="00023D89" w:rsidRPr="00DB3875">
              <w:rPr>
                <w:rFonts w:ascii="Times New Roman" w:eastAsia="Times New Roman" w:hAnsi="Times New Roman" w:cs="Times New Roman"/>
                <w:sz w:val="28"/>
                <w:szCs w:val="28"/>
                <w:lang w:eastAsia="lv-LV"/>
              </w:rPr>
              <w:t>s</w:t>
            </w:r>
            <w:r w:rsidR="006474DC" w:rsidRPr="00DB3875">
              <w:rPr>
                <w:rFonts w:ascii="Times New Roman" w:eastAsia="Times New Roman" w:hAnsi="Times New Roman" w:cs="Times New Roman"/>
                <w:sz w:val="28"/>
                <w:szCs w:val="28"/>
                <w:lang w:eastAsia="lv-LV"/>
              </w:rPr>
              <w:t xml:space="preserve"> vai patiesā vērtība</w:t>
            </w:r>
            <w:r w:rsidR="00272363" w:rsidRPr="00DB3875">
              <w:rPr>
                <w:rFonts w:ascii="Times New Roman" w:eastAsia="Times New Roman" w:hAnsi="Times New Roman" w:cs="Times New Roman"/>
                <w:sz w:val="28"/>
                <w:szCs w:val="28"/>
                <w:lang w:eastAsia="lv-LV"/>
              </w:rPr>
              <w:t>;</w:t>
            </w:r>
          </w:p>
          <w:p w:rsidR="00232E8D" w:rsidRPr="00DB3875" w:rsidRDefault="00232E8D" w:rsidP="00706BEC">
            <w:pPr>
              <w:pStyle w:val="ListParagraph"/>
              <w:numPr>
                <w:ilvl w:val="0"/>
                <w:numId w:val="6"/>
              </w:numPr>
              <w:spacing w:after="0" w:line="240" w:lineRule="auto"/>
              <w:ind w:left="369"/>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v</w:t>
            </w:r>
            <w:r w:rsidR="001F3D8F" w:rsidRPr="00DB3875">
              <w:rPr>
                <w:rFonts w:ascii="Times New Roman" w:eastAsia="Times New Roman" w:hAnsi="Times New Roman" w:cs="Times New Roman"/>
                <w:sz w:val="28"/>
                <w:szCs w:val="28"/>
                <w:lang w:eastAsia="lv-LV"/>
              </w:rPr>
              <w:t>eidlapa</w:t>
            </w:r>
            <w:r w:rsidRPr="00DB3875">
              <w:rPr>
                <w:rFonts w:ascii="Times New Roman" w:eastAsia="Times New Roman" w:hAnsi="Times New Roman" w:cs="Times New Roman"/>
                <w:sz w:val="28"/>
                <w:szCs w:val="28"/>
                <w:lang w:eastAsia="lv-LV"/>
              </w:rPr>
              <w:t>s</w:t>
            </w:r>
            <w:r w:rsidR="001F3D8F" w:rsidRPr="00DB3875">
              <w:rPr>
                <w:rFonts w:ascii="Times New Roman" w:eastAsia="Times New Roman" w:hAnsi="Times New Roman" w:cs="Times New Roman"/>
                <w:sz w:val="28"/>
                <w:szCs w:val="28"/>
                <w:lang w:eastAsia="lv-LV"/>
              </w:rPr>
              <w:t xml:space="preserve"> Nr.7-1 "Līdzdalības kapitālsabiedrību kapitālā izmaiņu pārskats" skaidrojum</w:t>
            </w:r>
            <w:r w:rsidRPr="00DB3875">
              <w:rPr>
                <w:rFonts w:ascii="Times New Roman" w:eastAsia="Times New Roman" w:hAnsi="Times New Roman" w:cs="Times New Roman"/>
                <w:sz w:val="28"/>
                <w:szCs w:val="28"/>
                <w:lang w:eastAsia="lv-LV"/>
              </w:rPr>
              <w:t>u</w:t>
            </w:r>
            <w:r w:rsidR="001F3D8F" w:rsidRPr="00DB3875">
              <w:rPr>
                <w:rFonts w:ascii="Times New Roman" w:eastAsia="Times New Roman" w:hAnsi="Times New Roman" w:cs="Times New Roman"/>
                <w:sz w:val="28"/>
                <w:szCs w:val="28"/>
                <w:lang w:eastAsia="lv-LV"/>
              </w:rPr>
              <w:t xml:space="preserve"> par rindās uzrādāmo informāciju, ja  ailēs „Līdzdalība (%) perioda beigās” un „Pārskata perioda beigās (1. līdz 9.ailes summa)” ir nulle;</w:t>
            </w:r>
          </w:p>
          <w:p w:rsidR="001F3D8F" w:rsidRPr="00DB3875" w:rsidRDefault="00232E8D" w:rsidP="00706BEC">
            <w:pPr>
              <w:pStyle w:val="ListParagraph"/>
              <w:numPr>
                <w:ilvl w:val="0"/>
                <w:numId w:val="6"/>
              </w:numPr>
              <w:spacing w:after="0" w:line="240" w:lineRule="auto"/>
              <w:ind w:left="369"/>
              <w:jc w:val="both"/>
              <w:rPr>
                <w:rFonts w:ascii="Times New Roman" w:eastAsia="Times New Roman" w:hAnsi="Times New Roman" w:cs="Times New Roman"/>
                <w:sz w:val="28"/>
                <w:szCs w:val="28"/>
                <w:lang w:eastAsia="lv-LV"/>
              </w:rPr>
            </w:pPr>
            <w:r w:rsidRPr="00DB3875">
              <w:rPr>
                <w:rFonts w:ascii="Times New Roman" w:eastAsia="Times New Roman" w:hAnsi="Times New Roman" w:cs="Times New Roman"/>
                <w:sz w:val="28"/>
                <w:szCs w:val="28"/>
                <w:lang w:eastAsia="lv-LV"/>
              </w:rPr>
              <w:t>v</w:t>
            </w:r>
            <w:r w:rsidR="00F80116" w:rsidRPr="00DB3875">
              <w:rPr>
                <w:rFonts w:ascii="Times New Roman" w:eastAsia="Times New Roman" w:hAnsi="Times New Roman" w:cs="Times New Roman"/>
                <w:sz w:val="28"/>
                <w:szCs w:val="28"/>
                <w:lang w:eastAsia="lv-LV"/>
              </w:rPr>
              <w:t>eidlapa</w:t>
            </w:r>
            <w:r w:rsidRPr="00DB3875">
              <w:rPr>
                <w:rFonts w:ascii="Times New Roman" w:eastAsia="Times New Roman" w:hAnsi="Times New Roman" w:cs="Times New Roman"/>
                <w:sz w:val="28"/>
                <w:szCs w:val="28"/>
                <w:lang w:eastAsia="lv-LV"/>
              </w:rPr>
              <w:t>s</w:t>
            </w:r>
            <w:r w:rsidR="00F80116" w:rsidRPr="00DB3875">
              <w:rPr>
                <w:rFonts w:ascii="Times New Roman" w:eastAsia="Times New Roman" w:hAnsi="Times New Roman" w:cs="Times New Roman"/>
                <w:sz w:val="28"/>
                <w:szCs w:val="28"/>
                <w:lang w:eastAsia="lv-LV"/>
              </w:rPr>
              <w:t xml:space="preserve"> Nr.9-1 "Pārskats par aizņēmumiem" skaidrojum</w:t>
            </w:r>
            <w:r w:rsidRPr="00DB3875">
              <w:rPr>
                <w:rFonts w:ascii="Times New Roman" w:eastAsia="Times New Roman" w:hAnsi="Times New Roman" w:cs="Times New Roman"/>
                <w:sz w:val="28"/>
                <w:szCs w:val="28"/>
                <w:lang w:eastAsia="lv-LV"/>
              </w:rPr>
              <w:t>u</w:t>
            </w:r>
            <w:r w:rsidR="00F80116" w:rsidRPr="00DB3875">
              <w:rPr>
                <w:rFonts w:ascii="Times New Roman" w:eastAsia="Times New Roman" w:hAnsi="Times New Roman" w:cs="Times New Roman"/>
                <w:sz w:val="28"/>
                <w:szCs w:val="28"/>
                <w:lang w:eastAsia="lv-LV"/>
              </w:rPr>
              <w:t xml:space="preserve"> par </w:t>
            </w:r>
            <w:r w:rsidR="00272363" w:rsidRPr="00DB3875">
              <w:rPr>
                <w:rFonts w:ascii="Times New Roman" w:eastAsia="Times New Roman" w:hAnsi="Times New Roman" w:cs="Times New Roman"/>
                <w:sz w:val="28"/>
                <w:szCs w:val="28"/>
                <w:lang w:eastAsia="lv-LV"/>
              </w:rPr>
              <w:t xml:space="preserve">ailē "% likme" </w:t>
            </w:r>
            <w:r w:rsidR="00F80116" w:rsidRPr="00DB3875">
              <w:rPr>
                <w:rFonts w:ascii="Times New Roman" w:eastAsia="Times New Roman" w:hAnsi="Times New Roman" w:cs="Times New Roman"/>
                <w:sz w:val="28"/>
                <w:szCs w:val="28"/>
                <w:lang w:eastAsia="lv-LV"/>
              </w:rPr>
              <w:t xml:space="preserve"> aizņēmumam piemēroto procentu likmes veid</w:t>
            </w:r>
            <w:r w:rsidR="00272363" w:rsidRPr="00DB3875">
              <w:rPr>
                <w:rFonts w:ascii="Times New Roman" w:eastAsia="Times New Roman" w:hAnsi="Times New Roman" w:cs="Times New Roman"/>
                <w:sz w:val="28"/>
                <w:szCs w:val="28"/>
                <w:lang w:eastAsia="lv-LV"/>
              </w:rPr>
              <w:t>a piemērošanu</w:t>
            </w:r>
            <w:r w:rsidR="000D482E" w:rsidRPr="00DB3875">
              <w:rPr>
                <w:rFonts w:ascii="Times New Roman" w:eastAsia="Times New Roman" w:hAnsi="Times New Roman" w:cs="Times New Roman"/>
                <w:sz w:val="28"/>
                <w:szCs w:val="28"/>
                <w:lang w:eastAsia="lv-LV"/>
              </w:rPr>
              <w:t>, ja tā pārskata periodā ir mainīta</w:t>
            </w:r>
            <w:r w:rsidRPr="00DB3875">
              <w:rPr>
                <w:rFonts w:ascii="Times New Roman" w:eastAsia="Times New Roman" w:hAnsi="Times New Roman" w:cs="Times New Roman"/>
                <w:sz w:val="28"/>
                <w:szCs w:val="28"/>
                <w:lang w:eastAsia="lv-LV"/>
              </w:rPr>
              <w:t>.</w:t>
            </w:r>
          </w:p>
          <w:p w:rsidR="009F6DF2" w:rsidRPr="00DB3875" w:rsidRDefault="009F6DF2" w:rsidP="00373627">
            <w:pPr>
              <w:pStyle w:val="ListParagraph"/>
              <w:numPr>
                <w:ilvl w:val="0"/>
                <w:numId w:val="9"/>
              </w:numPr>
              <w:spacing w:after="0" w:line="240" w:lineRule="auto"/>
              <w:ind w:left="-30" w:firstLine="330"/>
              <w:jc w:val="both"/>
              <w:rPr>
                <w:rFonts w:ascii="Times New Roman" w:hAnsi="Times New Roman"/>
                <w:sz w:val="28"/>
                <w:szCs w:val="24"/>
              </w:rPr>
            </w:pPr>
            <w:r w:rsidRPr="00DB3875">
              <w:rPr>
                <w:rFonts w:ascii="Times New Roman" w:hAnsi="Times New Roman"/>
                <w:sz w:val="28"/>
                <w:szCs w:val="24"/>
              </w:rPr>
              <w:lastRenderedPageBreak/>
              <w:t xml:space="preserve">Iestādes gada pārskata veidlapā Nr. 1-1 „Naudas līdzekļu atlikumu izvietojums” sniedz informāciju par naudas līdzekļu atlikumiem veidlapā norādītajās komercbankās. Ja komercbanka veidlapā nav minēta, informāciju norāda </w:t>
            </w:r>
            <w:r w:rsidR="001828A3" w:rsidRPr="00DB3875">
              <w:rPr>
                <w:rFonts w:ascii="Times New Roman" w:hAnsi="Times New Roman"/>
                <w:sz w:val="28"/>
                <w:szCs w:val="24"/>
              </w:rPr>
              <w:t xml:space="preserve">kopējā summā </w:t>
            </w:r>
            <w:r w:rsidRPr="00DB3875">
              <w:rPr>
                <w:rFonts w:ascii="Times New Roman" w:hAnsi="Times New Roman"/>
                <w:sz w:val="28"/>
                <w:szCs w:val="24"/>
              </w:rPr>
              <w:t>ailē „Pārējās komercbank</w:t>
            </w:r>
            <w:r w:rsidR="001828A3" w:rsidRPr="00DB3875">
              <w:rPr>
                <w:rFonts w:ascii="Times New Roman" w:hAnsi="Times New Roman"/>
                <w:sz w:val="28"/>
                <w:szCs w:val="24"/>
              </w:rPr>
              <w:t>a</w:t>
            </w:r>
            <w:r w:rsidRPr="00DB3875">
              <w:rPr>
                <w:rFonts w:ascii="Times New Roman" w:hAnsi="Times New Roman"/>
                <w:sz w:val="28"/>
                <w:szCs w:val="24"/>
              </w:rPr>
              <w:t>s”.</w:t>
            </w:r>
            <w:r w:rsidR="00F8204A" w:rsidRPr="00DB3875">
              <w:rPr>
                <w:rFonts w:ascii="Times New Roman" w:hAnsi="Times New Roman"/>
                <w:sz w:val="28"/>
                <w:szCs w:val="24"/>
              </w:rPr>
              <w:t xml:space="preserve"> Lai naudas līdzekļu </w:t>
            </w:r>
            <w:r w:rsidR="00247300">
              <w:rPr>
                <w:rFonts w:ascii="Times New Roman" w:hAnsi="Times New Roman"/>
                <w:sz w:val="28"/>
                <w:szCs w:val="24"/>
              </w:rPr>
              <w:t xml:space="preserve">atlikuma izvietojuma </w:t>
            </w:r>
            <w:r w:rsidR="00F8204A" w:rsidRPr="00DB3875">
              <w:rPr>
                <w:rFonts w:ascii="Times New Roman" w:hAnsi="Times New Roman"/>
                <w:sz w:val="28"/>
                <w:szCs w:val="24"/>
              </w:rPr>
              <w:t>pārskats sniegtu patiesu</w:t>
            </w:r>
            <w:r w:rsidR="00545762">
              <w:rPr>
                <w:rFonts w:ascii="Times New Roman" w:hAnsi="Times New Roman"/>
                <w:sz w:val="28"/>
                <w:szCs w:val="24"/>
              </w:rPr>
              <w:t xml:space="preserve"> un</w:t>
            </w:r>
            <w:r w:rsidR="00F8204A" w:rsidRPr="00DB3875">
              <w:rPr>
                <w:rFonts w:ascii="Times New Roman" w:hAnsi="Times New Roman"/>
                <w:sz w:val="28"/>
                <w:szCs w:val="24"/>
              </w:rPr>
              <w:t xml:space="preserve"> skaidru</w:t>
            </w:r>
            <w:r w:rsidR="009A2FD6">
              <w:rPr>
                <w:rFonts w:ascii="Times New Roman" w:hAnsi="Times New Roman"/>
                <w:sz w:val="28"/>
                <w:szCs w:val="24"/>
              </w:rPr>
              <w:t xml:space="preserve"> priekšstatu</w:t>
            </w:r>
            <w:r w:rsidR="00F8204A" w:rsidRPr="00DB3875">
              <w:rPr>
                <w:rFonts w:ascii="Times New Roman" w:hAnsi="Times New Roman"/>
                <w:sz w:val="28"/>
                <w:szCs w:val="24"/>
              </w:rPr>
              <w:t>,</w:t>
            </w:r>
            <w:r w:rsidR="00545762">
              <w:rPr>
                <w:rFonts w:ascii="Times New Roman" w:hAnsi="Times New Roman"/>
                <w:sz w:val="28"/>
                <w:szCs w:val="24"/>
              </w:rPr>
              <w:t xml:space="preserve"> kas atbilst</w:t>
            </w:r>
            <w:r w:rsidR="00F8204A" w:rsidRPr="00DB3875">
              <w:rPr>
                <w:rFonts w:ascii="Times New Roman" w:hAnsi="Times New Roman"/>
                <w:sz w:val="28"/>
                <w:szCs w:val="24"/>
              </w:rPr>
              <w:t xml:space="preserve"> esošajai situācijai</w:t>
            </w:r>
            <w:r w:rsidR="00545762">
              <w:rPr>
                <w:rFonts w:ascii="Times New Roman" w:hAnsi="Times New Roman"/>
                <w:sz w:val="28"/>
                <w:szCs w:val="24"/>
              </w:rPr>
              <w:t xml:space="preserve"> komercbanku struktūrā </w:t>
            </w:r>
            <w:r w:rsidR="00F8204A" w:rsidRPr="00DB3875">
              <w:rPr>
                <w:rFonts w:ascii="Times New Roman" w:hAnsi="Times New Roman"/>
                <w:sz w:val="28"/>
                <w:szCs w:val="24"/>
              </w:rPr>
              <w:t>n</w:t>
            </w:r>
            <w:r w:rsidRPr="00DB3875">
              <w:rPr>
                <w:rFonts w:ascii="Times New Roman" w:hAnsi="Times New Roman"/>
                <w:sz w:val="28"/>
                <w:szCs w:val="24"/>
              </w:rPr>
              <w:t xml:space="preserve">oteikumu grozījumi paredz </w:t>
            </w:r>
            <w:r w:rsidR="001828A3" w:rsidRPr="00DB3875">
              <w:rPr>
                <w:rFonts w:ascii="Times New Roman" w:hAnsi="Times New Roman"/>
                <w:sz w:val="28"/>
                <w:szCs w:val="24"/>
              </w:rPr>
              <w:t xml:space="preserve">mainīt </w:t>
            </w:r>
            <w:r w:rsidRPr="00DB3875">
              <w:rPr>
                <w:rFonts w:ascii="Times New Roman" w:hAnsi="Times New Roman"/>
                <w:sz w:val="28"/>
                <w:szCs w:val="24"/>
              </w:rPr>
              <w:t>četru komercbanku nosaukumus</w:t>
            </w:r>
            <w:r w:rsidR="001828A3" w:rsidRPr="00DB3875">
              <w:rPr>
                <w:rFonts w:ascii="Times New Roman" w:hAnsi="Times New Roman"/>
                <w:sz w:val="28"/>
                <w:szCs w:val="24"/>
              </w:rPr>
              <w:t xml:space="preserve">, jo divas no tām ir likvidētas, vienā no tām iestādes neglabā savus naudas līdzekļus, </w:t>
            </w:r>
            <w:r w:rsidR="001828A3" w:rsidRPr="009D10F5">
              <w:rPr>
                <w:rFonts w:ascii="Times New Roman" w:hAnsi="Times New Roman"/>
                <w:sz w:val="28"/>
                <w:szCs w:val="24"/>
              </w:rPr>
              <w:t>vienā – precizēts nosaukums</w:t>
            </w:r>
            <w:r w:rsidR="009D10F5" w:rsidRPr="009D10F5">
              <w:rPr>
                <w:rFonts w:ascii="Times New Roman" w:hAnsi="Times New Roman"/>
                <w:sz w:val="28"/>
                <w:szCs w:val="24"/>
              </w:rPr>
              <w:t>.</w:t>
            </w:r>
            <w:r w:rsidR="001828A3" w:rsidRPr="00DB3875">
              <w:rPr>
                <w:rFonts w:ascii="Times New Roman" w:hAnsi="Times New Roman"/>
                <w:sz w:val="28"/>
                <w:szCs w:val="24"/>
              </w:rPr>
              <w:t xml:space="preserve"> </w:t>
            </w:r>
            <w:r w:rsidR="00545762">
              <w:rPr>
                <w:rFonts w:ascii="Times New Roman" w:hAnsi="Times New Roman"/>
                <w:sz w:val="28"/>
                <w:szCs w:val="24"/>
              </w:rPr>
              <w:t xml:space="preserve">Mainot </w:t>
            </w:r>
            <w:r w:rsidR="001828A3" w:rsidRPr="00DB3875">
              <w:rPr>
                <w:rFonts w:ascii="Times New Roman" w:hAnsi="Times New Roman"/>
                <w:sz w:val="28"/>
                <w:szCs w:val="24"/>
              </w:rPr>
              <w:t xml:space="preserve"> komercbanku nosaukum</w:t>
            </w:r>
            <w:r w:rsidR="00545762">
              <w:rPr>
                <w:rFonts w:ascii="Times New Roman" w:hAnsi="Times New Roman"/>
                <w:sz w:val="28"/>
                <w:szCs w:val="24"/>
              </w:rPr>
              <w:t>us tiek novērsts krāpšanās risks par uzrādītajiem datiem pārskatā, atvieglo uzrādītās informācijas salīdzināšanu ar veiktās inventarizācijas rezultātiem par naudas līdzekļu atlikumiem komercbanku kontos un gada pārskatā ir uzrādīta</w:t>
            </w:r>
            <w:r w:rsidR="001828A3" w:rsidRPr="00DB3875">
              <w:rPr>
                <w:rFonts w:ascii="Times New Roman" w:hAnsi="Times New Roman"/>
                <w:sz w:val="28"/>
                <w:szCs w:val="24"/>
              </w:rPr>
              <w:t xml:space="preserve"> </w:t>
            </w:r>
            <w:r w:rsidR="00F8204A" w:rsidRPr="00DB3875">
              <w:rPr>
                <w:rFonts w:ascii="Times New Roman" w:hAnsi="Times New Roman"/>
                <w:sz w:val="28"/>
                <w:szCs w:val="24"/>
              </w:rPr>
              <w:t>paties</w:t>
            </w:r>
            <w:r w:rsidR="00545762">
              <w:rPr>
                <w:rFonts w:ascii="Times New Roman" w:hAnsi="Times New Roman"/>
                <w:sz w:val="28"/>
                <w:szCs w:val="24"/>
              </w:rPr>
              <w:t>a un salīdzināma</w:t>
            </w:r>
            <w:r w:rsidR="00F8204A" w:rsidRPr="00DB3875">
              <w:rPr>
                <w:rFonts w:ascii="Times New Roman" w:hAnsi="Times New Roman"/>
                <w:sz w:val="28"/>
                <w:szCs w:val="24"/>
              </w:rPr>
              <w:t xml:space="preserve"> informācij</w:t>
            </w:r>
            <w:r w:rsidR="00545762">
              <w:rPr>
                <w:rFonts w:ascii="Times New Roman" w:hAnsi="Times New Roman"/>
                <w:sz w:val="28"/>
                <w:szCs w:val="24"/>
              </w:rPr>
              <w:t>a</w:t>
            </w:r>
            <w:r w:rsidR="0062444B">
              <w:rPr>
                <w:rFonts w:ascii="Times New Roman" w:hAnsi="Times New Roman"/>
                <w:sz w:val="28"/>
                <w:szCs w:val="24"/>
              </w:rPr>
              <w:t>.</w:t>
            </w:r>
          </w:p>
          <w:p w:rsidR="00373627" w:rsidRPr="00DB3875" w:rsidRDefault="009F7307" w:rsidP="009F7307">
            <w:pPr>
              <w:pStyle w:val="ListParagraph"/>
              <w:numPr>
                <w:ilvl w:val="0"/>
                <w:numId w:val="9"/>
              </w:numPr>
              <w:spacing w:after="0" w:line="240" w:lineRule="auto"/>
              <w:ind w:left="0" w:firstLine="300"/>
              <w:jc w:val="both"/>
              <w:rPr>
                <w:rFonts w:ascii="Times New Roman" w:hAnsi="Times New Roman"/>
                <w:sz w:val="28"/>
                <w:szCs w:val="24"/>
              </w:rPr>
            </w:pPr>
            <w:r w:rsidRPr="00DB3875">
              <w:rPr>
                <w:rFonts w:ascii="Times New Roman" w:hAnsi="Times New Roman"/>
                <w:sz w:val="28"/>
                <w:szCs w:val="24"/>
              </w:rPr>
              <w:t xml:space="preserve">Noteikumu spēkā esošā redakcija (65.12.3.apakšpunkts) nosaka, ka pārskatam pievieno skaidrojumu par zemi mežaudzēm, karjeriem, pazemes aktīviem, augļu dārziem un citiem regulāri ražojošo koku stādījumiem, norādot to apjomu hektāros. Savukārt noteikumu 7.pielikums paredz paskaidrojumu </w:t>
            </w:r>
            <w:r w:rsidR="0065708F" w:rsidRPr="00DB3875">
              <w:rPr>
                <w:rFonts w:ascii="Times New Roman" w:hAnsi="Times New Roman"/>
                <w:sz w:val="28"/>
                <w:szCs w:val="24"/>
              </w:rPr>
              <w:t>sniegšanu</w:t>
            </w:r>
            <w:r w:rsidRPr="00DB3875">
              <w:rPr>
                <w:rFonts w:ascii="Times New Roman" w:hAnsi="Times New Roman"/>
                <w:sz w:val="28"/>
                <w:szCs w:val="24"/>
              </w:rPr>
              <w:t xml:space="preserve"> arī par pārējo zemi</w:t>
            </w:r>
            <w:r w:rsidR="00236ED7" w:rsidRPr="00DB3875">
              <w:rPr>
                <w:rFonts w:ascii="Times New Roman" w:hAnsi="Times New Roman"/>
                <w:sz w:val="28"/>
                <w:szCs w:val="24"/>
              </w:rPr>
              <w:t>, izņemot zemi zem mežaudzēm, karjeriem, pazemes aktīviem, augļu dārziem un citiem regulāri ražojošo koku stādījumiem</w:t>
            </w:r>
            <w:r w:rsidRPr="00DB3875">
              <w:rPr>
                <w:rFonts w:ascii="Times New Roman" w:hAnsi="Times New Roman"/>
                <w:sz w:val="28"/>
                <w:szCs w:val="24"/>
              </w:rPr>
              <w:t>. Lai noteikumu pielikums atbilstu noteikum</w:t>
            </w:r>
            <w:r w:rsidR="0065708F" w:rsidRPr="00DB3875">
              <w:rPr>
                <w:rFonts w:ascii="Times New Roman" w:hAnsi="Times New Roman"/>
                <w:sz w:val="28"/>
                <w:szCs w:val="24"/>
              </w:rPr>
              <w:t>u</w:t>
            </w:r>
            <w:r w:rsidRPr="00DB3875">
              <w:rPr>
                <w:rFonts w:ascii="Times New Roman" w:hAnsi="Times New Roman"/>
                <w:sz w:val="28"/>
                <w:szCs w:val="24"/>
              </w:rPr>
              <w:t xml:space="preserve"> apakšpunkta redakcijai</w:t>
            </w:r>
            <w:r w:rsidR="0065708F" w:rsidRPr="00DB3875">
              <w:rPr>
                <w:rFonts w:ascii="Times New Roman" w:hAnsi="Times New Roman"/>
                <w:sz w:val="28"/>
                <w:szCs w:val="24"/>
              </w:rPr>
              <w:t>,</w:t>
            </w:r>
            <w:r w:rsidRPr="00DB3875">
              <w:rPr>
                <w:rFonts w:ascii="Times New Roman" w:hAnsi="Times New Roman"/>
                <w:sz w:val="28"/>
                <w:szCs w:val="24"/>
              </w:rPr>
              <w:t xml:space="preserve"> veikti </w:t>
            </w:r>
            <w:r w:rsidR="0065708F" w:rsidRPr="00DB3875">
              <w:rPr>
                <w:rFonts w:ascii="Times New Roman" w:hAnsi="Times New Roman"/>
                <w:sz w:val="28"/>
                <w:szCs w:val="24"/>
              </w:rPr>
              <w:t>7.</w:t>
            </w:r>
            <w:r w:rsidRPr="00DB3875">
              <w:rPr>
                <w:rFonts w:ascii="Times New Roman" w:hAnsi="Times New Roman"/>
                <w:sz w:val="28"/>
                <w:szCs w:val="24"/>
              </w:rPr>
              <w:t>pielikuma grozījumi</w:t>
            </w:r>
            <w:r w:rsidR="002C2938" w:rsidRPr="00DB3875">
              <w:rPr>
                <w:rFonts w:ascii="Times New Roman" w:hAnsi="Times New Roman"/>
                <w:sz w:val="28"/>
                <w:szCs w:val="24"/>
              </w:rPr>
              <w:t>,</w:t>
            </w:r>
            <w:r w:rsidRPr="00DB3875">
              <w:rPr>
                <w:rFonts w:ascii="Times New Roman" w:hAnsi="Times New Roman"/>
                <w:sz w:val="28"/>
                <w:szCs w:val="24"/>
              </w:rPr>
              <w:t xml:space="preserve"> kā arī, lai veicinātu pārskata sagatavotāju izpratni par p</w:t>
            </w:r>
            <w:r w:rsidR="0065708F" w:rsidRPr="00DB3875">
              <w:rPr>
                <w:rFonts w:ascii="Times New Roman" w:hAnsi="Times New Roman"/>
                <w:sz w:val="28"/>
                <w:szCs w:val="24"/>
              </w:rPr>
              <w:t>ārskata a</w:t>
            </w:r>
            <w:r w:rsidRPr="00DB3875">
              <w:rPr>
                <w:rFonts w:ascii="Times New Roman" w:hAnsi="Times New Roman"/>
                <w:sz w:val="28"/>
                <w:szCs w:val="24"/>
              </w:rPr>
              <w:t xml:space="preserve">izpildīšanu, precizēta noteikumu </w:t>
            </w:r>
            <w:r w:rsidR="0065708F" w:rsidRPr="00DB3875">
              <w:rPr>
                <w:rFonts w:ascii="Times New Roman" w:hAnsi="Times New Roman"/>
                <w:sz w:val="28"/>
                <w:szCs w:val="24"/>
              </w:rPr>
              <w:t>apakš</w:t>
            </w:r>
            <w:r w:rsidR="0060266C" w:rsidRPr="00DB3875">
              <w:rPr>
                <w:rFonts w:ascii="Times New Roman" w:hAnsi="Times New Roman"/>
                <w:sz w:val="28"/>
                <w:szCs w:val="24"/>
              </w:rPr>
              <w:t>punkta redakcija</w:t>
            </w:r>
            <w:r w:rsidR="0065708F" w:rsidRPr="00DB3875">
              <w:rPr>
                <w:rFonts w:ascii="Times New Roman" w:hAnsi="Times New Roman"/>
                <w:sz w:val="28"/>
                <w:szCs w:val="24"/>
              </w:rPr>
              <w:t>.</w:t>
            </w:r>
          </w:p>
          <w:p w:rsidR="006818A7" w:rsidRPr="00DB3875" w:rsidRDefault="00706BEC" w:rsidP="00225B23">
            <w:pPr>
              <w:pStyle w:val="ListParagraph"/>
              <w:spacing w:after="0" w:line="240" w:lineRule="auto"/>
              <w:ind w:left="0" w:firstLine="395"/>
              <w:jc w:val="both"/>
              <w:rPr>
                <w:rFonts w:ascii="Times New Roman" w:hAnsi="Times New Roman"/>
                <w:sz w:val="28"/>
                <w:szCs w:val="24"/>
              </w:rPr>
            </w:pPr>
            <w:r w:rsidRPr="00DB3875">
              <w:rPr>
                <w:rFonts w:ascii="Times New Roman" w:hAnsi="Times New Roman"/>
                <w:sz w:val="28"/>
                <w:szCs w:val="24"/>
              </w:rPr>
              <w:t>1</w:t>
            </w:r>
            <w:r w:rsidR="000F630E">
              <w:rPr>
                <w:rFonts w:ascii="Times New Roman" w:hAnsi="Times New Roman"/>
                <w:sz w:val="28"/>
                <w:szCs w:val="24"/>
              </w:rPr>
              <w:t>3</w:t>
            </w:r>
            <w:r w:rsidRPr="00DB3875">
              <w:rPr>
                <w:rFonts w:ascii="Times New Roman" w:hAnsi="Times New Roman"/>
                <w:sz w:val="28"/>
                <w:szCs w:val="24"/>
              </w:rPr>
              <w:t xml:space="preserve">. </w:t>
            </w:r>
            <w:r w:rsidR="000A5F0A" w:rsidRPr="00DB3875">
              <w:rPr>
                <w:rFonts w:ascii="Times New Roman" w:hAnsi="Times New Roman"/>
                <w:sz w:val="28"/>
                <w:szCs w:val="24"/>
              </w:rPr>
              <w:t>Papildus ar noteikumu grozījumiem precizēta un papildināta atsevišķu punktu un veidlapu redakcija, lai lietotājiem būtu saprotamāka pārskatu sagatavošanas un informācijas apkopošanas kārtība.</w:t>
            </w:r>
          </w:p>
        </w:tc>
      </w:tr>
      <w:tr w:rsidR="00082EBE" w:rsidRPr="00082EBE" w:rsidTr="00236CEE">
        <w:trPr>
          <w:trHeight w:val="465"/>
        </w:trPr>
        <w:tc>
          <w:tcPr>
            <w:tcW w:w="470" w:type="pct"/>
            <w:tcBorders>
              <w:top w:val="outset" w:sz="6" w:space="0" w:color="414142"/>
              <w:left w:val="outset" w:sz="6" w:space="0" w:color="414142"/>
              <w:bottom w:val="outset" w:sz="6" w:space="0" w:color="414142"/>
              <w:right w:val="outset" w:sz="6" w:space="0" w:color="414142"/>
            </w:tcBorders>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sz w:val="28"/>
                <w:szCs w:val="28"/>
                <w:highlight w:val="yellow"/>
                <w:lang w:eastAsia="lv-LV"/>
              </w:rPr>
            </w:pPr>
            <w:r w:rsidRPr="00706BEC">
              <w:rPr>
                <w:rFonts w:ascii="Times New Roman" w:eastAsia="Times New Roman" w:hAnsi="Times New Roman" w:cs="Times New Roman"/>
                <w:sz w:val="28"/>
                <w:szCs w:val="28"/>
                <w:lang w:eastAsia="lv-LV"/>
              </w:rPr>
              <w:lastRenderedPageBreak/>
              <w:t>3.</w:t>
            </w:r>
          </w:p>
        </w:tc>
        <w:tc>
          <w:tcPr>
            <w:tcW w:w="1327"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Projekta izstrādē iesaistītās institūcijas</w:t>
            </w:r>
          </w:p>
        </w:tc>
        <w:tc>
          <w:tcPr>
            <w:tcW w:w="3203" w:type="pct"/>
            <w:tcBorders>
              <w:top w:val="outset" w:sz="6" w:space="0" w:color="414142"/>
              <w:left w:val="outset" w:sz="6" w:space="0" w:color="414142"/>
              <w:bottom w:val="outset" w:sz="6" w:space="0" w:color="414142"/>
              <w:right w:val="outset" w:sz="6" w:space="0" w:color="414142"/>
            </w:tcBorders>
            <w:hideMark/>
          </w:tcPr>
          <w:p w:rsidR="009C5282" w:rsidRPr="00706BEC" w:rsidRDefault="00517E35"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Valsts kase</w:t>
            </w:r>
          </w:p>
        </w:tc>
      </w:tr>
      <w:tr w:rsidR="00082EBE" w:rsidRPr="00082EBE" w:rsidTr="00236CEE">
        <w:tc>
          <w:tcPr>
            <w:tcW w:w="470" w:type="pct"/>
            <w:tcBorders>
              <w:top w:val="outset" w:sz="6" w:space="0" w:color="414142"/>
              <w:left w:val="outset" w:sz="6" w:space="0" w:color="414142"/>
              <w:bottom w:val="outset" w:sz="6" w:space="0" w:color="414142"/>
              <w:right w:val="outset" w:sz="6" w:space="0" w:color="414142"/>
            </w:tcBorders>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sz w:val="28"/>
                <w:szCs w:val="28"/>
                <w:lang w:eastAsia="lv-LV"/>
              </w:rPr>
            </w:pPr>
            <w:r w:rsidRPr="00082EBE">
              <w:rPr>
                <w:rFonts w:ascii="Times New Roman" w:eastAsia="Times New Roman" w:hAnsi="Times New Roman" w:cs="Times New Roman"/>
                <w:sz w:val="28"/>
                <w:szCs w:val="28"/>
                <w:lang w:eastAsia="lv-LV"/>
              </w:rPr>
              <w:t>4.</w:t>
            </w:r>
          </w:p>
        </w:tc>
        <w:tc>
          <w:tcPr>
            <w:tcW w:w="1327" w:type="pct"/>
            <w:tcBorders>
              <w:top w:val="outset" w:sz="6" w:space="0" w:color="414142"/>
              <w:left w:val="outset" w:sz="6" w:space="0" w:color="414142"/>
              <w:bottom w:val="outset" w:sz="6" w:space="0" w:color="414142"/>
              <w:right w:val="outset" w:sz="6" w:space="0" w:color="414142"/>
            </w:tcBorders>
            <w:hideMark/>
          </w:tcPr>
          <w:p w:rsidR="009C5282" w:rsidRPr="00082EBE" w:rsidRDefault="009C5282" w:rsidP="009C5282">
            <w:pPr>
              <w:spacing w:after="0" w:line="240" w:lineRule="auto"/>
              <w:rPr>
                <w:rFonts w:ascii="Times New Roman" w:eastAsia="Times New Roman" w:hAnsi="Times New Roman" w:cs="Times New Roman"/>
                <w:sz w:val="28"/>
                <w:szCs w:val="28"/>
                <w:lang w:eastAsia="lv-LV"/>
              </w:rPr>
            </w:pPr>
            <w:r w:rsidRPr="00082EBE">
              <w:rPr>
                <w:rFonts w:ascii="Times New Roman" w:eastAsia="Times New Roman" w:hAnsi="Times New Roman" w:cs="Times New Roman"/>
                <w:sz w:val="28"/>
                <w:szCs w:val="28"/>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125CA2" w:rsidRPr="00125CA2" w:rsidRDefault="00125CA2" w:rsidP="00125CA2">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sidRPr="00125CA2">
              <w:rPr>
                <w:rFonts w:ascii="Times New Roman" w:hAnsi="Times New Roman" w:cs="Times New Roman"/>
                <w:sz w:val="28"/>
                <w:szCs w:val="28"/>
                <w:lang w:eastAsia="lv-LV"/>
              </w:rPr>
              <w:t>Sniedzot skaidru un patiesu priekšstatu par savstarpējiem darījumiem konsolidējošā iestāde, t.i.</w:t>
            </w:r>
            <w:r>
              <w:rPr>
                <w:rFonts w:ascii="Times New Roman" w:hAnsi="Times New Roman" w:cs="Times New Roman"/>
                <w:sz w:val="28"/>
                <w:szCs w:val="28"/>
                <w:lang w:eastAsia="lv-LV"/>
              </w:rPr>
              <w:t>,</w:t>
            </w:r>
            <w:r w:rsidRPr="00125CA2">
              <w:rPr>
                <w:rFonts w:ascii="Times New Roman" w:hAnsi="Times New Roman" w:cs="Times New Roman"/>
                <w:sz w:val="28"/>
                <w:szCs w:val="28"/>
                <w:lang w:eastAsia="lv-LV"/>
              </w:rPr>
              <w:t xml:space="preserve"> nozares ministrija un pašvaldība izslēdz  savstarpējos darījumu rezultātus starp padotības iestādēm attiecīgajos  finanšu pārskata posteņos norādīto aktīvu, saistību, ieņēmumu un izdevumu summas.</w:t>
            </w:r>
          </w:p>
          <w:p w:rsidR="00125CA2" w:rsidRPr="00125CA2" w:rsidRDefault="00125CA2" w:rsidP="00125CA2">
            <w:pPr>
              <w:spacing w:after="0" w:line="240" w:lineRule="auto"/>
              <w:jc w:val="both"/>
              <w:rPr>
                <w:rFonts w:ascii="Times New Roman" w:hAnsi="Times New Roman" w:cs="Times New Roman"/>
                <w:sz w:val="28"/>
                <w:szCs w:val="28"/>
                <w:lang w:eastAsia="lv-LV"/>
              </w:rPr>
            </w:pPr>
            <w:r w:rsidRPr="00125CA2">
              <w:rPr>
                <w:rFonts w:ascii="Times New Roman" w:hAnsi="Times New Roman" w:cs="Times New Roman"/>
                <w:sz w:val="28"/>
                <w:szCs w:val="28"/>
                <w:lang w:eastAsia="lv-LV"/>
              </w:rPr>
              <w:t>Sagatavojot konsolidēto budžeta izpildes pārskatu</w:t>
            </w:r>
            <w:r w:rsidR="007C445B">
              <w:rPr>
                <w:rFonts w:ascii="Times New Roman" w:hAnsi="Times New Roman" w:cs="Times New Roman"/>
                <w:sz w:val="28"/>
                <w:szCs w:val="28"/>
                <w:lang w:eastAsia="lv-LV"/>
              </w:rPr>
              <w:t xml:space="preserve"> un pārskatu par darbības finansiālajiem rezultātiem</w:t>
            </w:r>
            <w:r w:rsidRPr="00125CA2">
              <w:rPr>
                <w:rFonts w:ascii="Times New Roman" w:hAnsi="Times New Roman" w:cs="Times New Roman"/>
                <w:sz w:val="28"/>
                <w:szCs w:val="28"/>
                <w:lang w:eastAsia="lv-LV"/>
              </w:rPr>
              <w:t>, konsolidējošā iestāde izslēdz visus transfertus un savstarpējos maksājumus</w:t>
            </w:r>
            <w:r w:rsidR="007C445B">
              <w:rPr>
                <w:rFonts w:ascii="Times New Roman" w:hAnsi="Times New Roman" w:cs="Times New Roman"/>
                <w:sz w:val="28"/>
                <w:szCs w:val="28"/>
                <w:lang w:eastAsia="lv-LV"/>
              </w:rPr>
              <w:t>, t.sk. maksas pakalpojumus</w:t>
            </w:r>
            <w:r w:rsidRPr="00125CA2">
              <w:rPr>
                <w:rFonts w:ascii="Times New Roman" w:hAnsi="Times New Roman" w:cs="Times New Roman"/>
                <w:sz w:val="28"/>
                <w:szCs w:val="28"/>
                <w:lang w:eastAsia="lv-LV"/>
              </w:rPr>
              <w:t>, kurus viena iestāde ir pārskaitījusi citai konsolidācijā iesaistītajai iestādei. Pastāv gadījums, kad veicot s</w:t>
            </w:r>
            <w:r>
              <w:rPr>
                <w:rFonts w:ascii="Times New Roman" w:hAnsi="Times New Roman" w:cs="Times New Roman"/>
                <w:sz w:val="28"/>
                <w:szCs w:val="28"/>
                <w:lang w:eastAsia="lv-LV"/>
              </w:rPr>
              <w:t>avstarpējo maksājumu izslēgšanu</w:t>
            </w:r>
            <w:r w:rsidRPr="00125CA2">
              <w:rPr>
                <w:rFonts w:ascii="Times New Roman" w:hAnsi="Times New Roman" w:cs="Times New Roman"/>
                <w:sz w:val="28"/>
                <w:szCs w:val="28"/>
                <w:lang w:eastAsia="lv-LV"/>
              </w:rPr>
              <w:t xml:space="preserve"> ieņēmumiem un izdevumiem pēc uzkrāšanas principa, pilnībā netiek konsolidēti izdevumi par pievienotās vērtības nodokļa summām. Tas notiek tad, ja veicot savstarpējos darījumus starp padotības iestādēm, viena no konsolidācijā iesaistītajām iestādēm ir pievienotās vērtības nodokļa maksātāja, un šāda veida darījumu apliek ar pievienotās vērtības nodokli, un darījuma summu sadala starp ieņēmumiem un pievienotās vērtības </w:t>
            </w:r>
            <w:r w:rsidR="00F83AEF">
              <w:rPr>
                <w:rFonts w:ascii="Times New Roman" w:hAnsi="Times New Roman" w:cs="Times New Roman"/>
                <w:sz w:val="28"/>
                <w:szCs w:val="28"/>
                <w:lang w:eastAsia="lv-LV"/>
              </w:rPr>
              <w:t>nodokli. Savukārt, cita iestāde</w:t>
            </w:r>
            <w:r w:rsidRPr="00125CA2">
              <w:rPr>
                <w:rFonts w:ascii="Times New Roman" w:hAnsi="Times New Roman" w:cs="Times New Roman"/>
                <w:sz w:val="28"/>
                <w:szCs w:val="28"/>
                <w:lang w:eastAsia="lv-LV"/>
              </w:rPr>
              <w:t>, kas nav reģistrēta kā pievienotās vērtības nodokļa maksātāja</w:t>
            </w:r>
            <w:r w:rsidR="00F83AEF">
              <w:rPr>
                <w:rFonts w:ascii="Times New Roman" w:hAnsi="Times New Roman" w:cs="Times New Roman"/>
                <w:sz w:val="28"/>
                <w:szCs w:val="28"/>
                <w:lang w:eastAsia="lv-LV"/>
              </w:rPr>
              <w:t>,</w:t>
            </w:r>
            <w:r w:rsidRPr="00125CA2">
              <w:rPr>
                <w:rFonts w:ascii="Times New Roman" w:hAnsi="Times New Roman" w:cs="Times New Roman"/>
                <w:sz w:val="28"/>
                <w:szCs w:val="28"/>
                <w:lang w:eastAsia="lv-LV"/>
              </w:rPr>
              <w:t xml:space="preserve"> šādu darījumu atzīst pilnā apmērā, </w:t>
            </w:r>
            <w:r w:rsidR="00F83AEF" w:rsidRPr="00125CA2">
              <w:rPr>
                <w:rFonts w:ascii="Times New Roman" w:hAnsi="Times New Roman" w:cs="Times New Roman"/>
                <w:sz w:val="28"/>
                <w:szCs w:val="28"/>
                <w:lang w:eastAsia="lv-LV"/>
              </w:rPr>
              <w:t xml:space="preserve">pievienotās vērtības summu </w:t>
            </w:r>
            <w:r w:rsidRPr="00125CA2">
              <w:rPr>
                <w:rFonts w:ascii="Times New Roman" w:hAnsi="Times New Roman" w:cs="Times New Roman"/>
                <w:sz w:val="28"/>
                <w:szCs w:val="28"/>
                <w:lang w:eastAsia="lv-LV"/>
              </w:rPr>
              <w:t>atsevišķi neizdalot. Šādos gadījumos konsolidē</w:t>
            </w:r>
            <w:r>
              <w:rPr>
                <w:rFonts w:ascii="Times New Roman" w:hAnsi="Times New Roman" w:cs="Times New Roman"/>
                <w:sz w:val="28"/>
                <w:szCs w:val="28"/>
                <w:lang w:eastAsia="lv-LV"/>
              </w:rPr>
              <w:t>joša iestāde ievēro</w:t>
            </w:r>
            <w:r w:rsidRPr="00125CA2">
              <w:rPr>
                <w:rFonts w:ascii="Times New Roman" w:hAnsi="Times New Roman" w:cs="Times New Roman"/>
                <w:sz w:val="28"/>
                <w:szCs w:val="28"/>
                <w:lang w:eastAsia="lv-LV"/>
              </w:rPr>
              <w:t xml:space="preserve"> mazākum</w:t>
            </w:r>
            <w:r>
              <w:rPr>
                <w:rFonts w:ascii="Times New Roman" w:hAnsi="Times New Roman" w:cs="Times New Roman"/>
                <w:sz w:val="28"/>
                <w:szCs w:val="28"/>
                <w:lang w:eastAsia="lv-LV"/>
              </w:rPr>
              <w:t>a</w:t>
            </w:r>
            <w:r w:rsidRPr="00125CA2">
              <w:rPr>
                <w:rFonts w:ascii="Times New Roman" w:hAnsi="Times New Roman" w:cs="Times New Roman"/>
                <w:sz w:val="28"/>
                <w:szCs w:val="28"/>
                <w:lang w:eastAsia="lv-LV"/>
              </w:rPr>
              <w:t xml:space="preserve"> principu, izslēdzot savstarpēji ekonomiski atbilstošo pozīciju mazākās vērtības.</w:t>
            </w:r>
          </w:p>
          <w:p w:rsidR="00125CA2" w:rsidRPr="00082EBE" w:rsidRDefault="00125CA2" w:rsidP="0049153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C87453">
              <w:rPr>
                <w:rFonts w:ascii="Times New Roman" w:eastAsia="Times New Roman" w:hAnsi="Times New Roman" w:cs="Times New Roman"/>
                <w:sz w:val="28"/>
                <w:szCs w:val="28"/>
                <w:lang w:eastAsia="lv-LV"/>
              </w:rPr>
              <w:t>Noteikumu grozījumi pirmo reizi piemērojami sagatavojot 2016.gada pārskatu.</w:t>
            </w:r>
          </w:p>
        </w:tc>
      </w:tr>
    </w:tbl>
    <w:p w:rsidR="009C5282" w:rsidRPr="00082EBE" w:rsidRDefault="009C5282" w:rsidP="00F26672">
      <w:pPr>
        <w:shd w:val="clear" w:color="auto" w:fill="FFFFFF"/>
        <w:spacing w:after="0" w:line="300" w:lineRule="atLeast"/>
        <w:ind w:firstLine="301"/>
        <w:rPr>
          <w:rFonts w:ascii="Times New Roman" w:eastAsia="Times New Roman" w:hAnsi="Times New Roman" w:cs="Times New Roman"/>
          <w:sz w:val="28"/>
          <w:szCs w:val="28"/>
          <w:lang w:eastAsia="lv-LV"/>
        </w:rPr>
      </w:pPr>
      <w:r w:rsidRPr="00082EBE">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2EBE" w:rsidRPr="00082EBE" w:rsidTr="009C528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b/>
                <w:bCs/>
                <w:sz w:val="28"/>
                <w:szCs w:val="28"/>
                <w:lang w:eastAsia="lv-LV"/>
              </w:rPr>
            </w:pPr>
            <w:r w:rsidRPr="00082EB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082EBE" w:rsidRPr="00082EBE"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C5282" w:rsidRPr="00706BEC" w:rsidRDefault="00BB7F77" w:rsidP="00B55F1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Ministrijas, centrālās valsts iestādes,</w:t>
            </w:r>
            <w:r w:rsidRPr="00706BEC">
              <w:rPr>
                <w:rFonts w:ascii="Times New Roman" w:eastAsia="Times New Roman" w:hAnsi="Times New Roman" w:cs="Times New Roman"/>
                <w:sz w:val="28"/>
                <w:szCs w:val="28"/>
                <w:lang w:eastAsia="lv-LV"/>
              </w:rPr>
              <w:t xml:space="preserve"> valsts budžeta iestādes</w:t>
            </w:r>
            <w:r>
              <w:rPr>
                <w:rFonts w:ascii="Times New Roman" w:eastAsia="Times New Roman" w:hAnsi="Times New Roman" w:cs="Times New Roman"/>
                <w:sz w:val="28"/>
                <w:szCs w:val="28"/>
                <w:lang w:eastAsia="lv-LV"/>
              </w:rPr>
              <w:t xml:space="preserve">, </w:t>
            </w:r>
            <w:r w:rsidR="0060694A">
              <w:rPr>
                <w:rFonts w:ascii="Times New Roman" w:eastAsia="Times New Roman" w:hAnsi="Times New Roman" w:cs="Times New Roman"/>
                <w:sz w:val="28"/>
                <w:szCs w:val="28"/>
                <w:lang w:eastAsia="lv-LV"/>
              </w:rPr>
              <w:t xml:space="preserve">publiskie nodibinājumi, </w:t>
            </w:r>
            <w:r w:rsidRPr="00706BEC">
              <w:rPr>
                <w:rFonts w:ascii="Times New Roman" w:eastAsia="Times New Roman" w:hAnsi="Times New Roman" w:cs="Times New Roman"/>
                <w:sz w:val="28"/>
                <w:szCs w:val="28"/>
                <w:lang w:eastAsia="lv-LV"/>
              </w:rPr>
              <w:t>no valsts budžeta daļēji finansētas atvasinātas publiskas personas, budžeta nefinansētas iestādes</w:t>
            </w:r>
            <w:r>
              <w:rPr>
                <w:rFonts w:ascii="Times New Roman" w:eastAsia="Times New Roman" w:hAnsi="Times New Roman" w:cs="Times New Roman"/>
                <w:sz w:val="28"/>
                <w:szCs w:val="28"/>
                <w:lang w:eastAsia="lv-LV"/>
              </w:rPr>
              <w:t>. Pašvaldības, p</w:t>
            </w:r>
            <w:r w:rsidRPr="00706BEC">
              <w:rPr>
                <w:rFonts w:ascii="Times New Roman" w:eastAsia="Times New Roman" w:hAnsi="Times New Roman" w:cs="Times New Roman"/>
                <w:sz w:val="28"/>
                <w:szCs w:val="28"/>
                <w:lang w:eastAsia="lv-LV"/>
              </w:rPr>
              <w:t xml:space="preserve">ašvaldību </w:t>
            </w:r>
            <w:r w:rsidR="00876AB8" w:rsidRPr="00706BEC">
              <w:rPr>
                <w:rFonts w:ascii="Times New Roman" w:eastAsia="Times New Roman" w:hAnsi="Times New Roman" w:cs="Times New Roman"/>
                <w:sz w:val="28"/>
                <w:szCs w:val="28"/>
                <w:lang w:eastAsia="lv-LV"/>
              </w:rPr>
              <w:t>budžeta</w:t>
            </w:r>
            <w:r w:rsidR="007B2E3D">
              <w:rPr>
                <w:rFonts w:ascii="Times New Roman" w:eastAsia="Times New Roman" w:hAnsi="Times New Roman" w:cs="Times New Roman"/>
                <w:sz w:val="28"/>
                <w:szCs w:val="28"/>
                <w:lang w:eastAsia="lv-LV"/>
              </w:rPr>
              <w:t xml:space="preserve"> iestādes</w:t>
            </w:r>
            <w:r w:rsidR="00876AB8" w:rsidRPr="00706BE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un kopīgās iestādes</w:t>
            </w:r>
            <w:r w:rsidR="00876AB8" w:rsidRPr="00706BEC">
              <w:rPr>
                <w:rFonts w:ascii="Times New Roman" w:eastAsia="Times New Roman" w:hAnsi="Times New Roman" w:cs="Times New Roman"/>
                <w:sz w:val="28"/>
                <w:szCs w:val="28"/>
                <w:lang w:eastAsia="lv-LV"/>
              </w:rPr>
              <w:t>.</w:t>
            </w:r>
          </w:p>
        </w:tc>
      </w:tr>
      <w:tr w:rsidR="00082EBE" w:rsidRPr="00082EBE"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C5A24" w:rsidRPr="00706BEC" w:rsidRDefault="00185CF9" w:rsidP="00706BEC">
            <w:pPr>
              <w:pStyle w:val="tv213"/>
              <w:spacing w:before="0" w:beforeAutospacing="0" w:after="0" w:afterAutospacing="0"/>
              <w:jc w:val="both"/>
              <w:rPr>
                <w:color w:val="000000" w:themeColor="text1"/>
                <w:sz w:val="28"/>
                <w:szCs w:val="28"/>
              </w:rPr>
            </w:pPr>
            <w:r w:rsidRPr="00706BEC">
              <w:rPr>
                <w:color w:val="000000" w:themeColor="text1"/>
                <w:sz w:val="28"/>
              </w:rPr>
              <w:t>P</w:t>
            </w:r>
            <w:r w:rsidR="007C5A24" w:rsidRPr="00706BEC">
              <w:rPr>
                <w:color w:val="000000" w:themeColor="text1"/>
                <w:sz w:val="28"/>
              </w:rPr>
              <w:t>roje</w:t>
            </w:r>
            <w:r w:rsidRPr="00706BEC">
              <w:rPr>
                <w:color w:val="000000" w:themeColor="text1"/>
                <w:sz w:val="28"/>
              </w:rPr>
              <w:t>kta tiesiskā regulējuma</w:t>
            </w:r>
            <w:r w:rsidR="007C5A24" w:rsidRPr="00706BEC">
              <w:rPr>
                <w:color w:val="000000" w:themeColor="text1"/>
                <w:sz w:val="28"/>
              </w:rPr>
              <w:t xml:space="preserve"> ietekm</w:t>
            </w:r>
            <w:r w:rsidRPr="00706BEC">
              <w:rPr>
                <w:color w:val="000000" w:themeColor="text1"/>
                <w:sz w:val="28"/>
              </w:rPr>
              <w:t>e</w:t>
            </w:r>
            <w:r w:rsidR="007C5A24" w:rsidRPr="00706BEC">
              <w:rPr>
                <w:color w:val="000000" w:themeColor="text1"/>
                <w:sz w:val="28"/>
              </w:rPr>
              <w:t xml:space="preserve"> uz administratīvo slogu</w:t>
            </w:r>
            <w:r w:rsidR="00F16E4A" w:rsidRPr="00706BEC">
              <w:rPr>
                <w:color w:val="000000" w:themeColor="text1"/>
                <w:sz w:val="28"/>
              </w:rPr>
              <w:t>:</w:t>
            </w:r>
          </w:p>
          <w:p w:rsidR="00185CF9" w:rsidRPr="00706BEC" w:rsidRDefault="00580692" w:rsidP="00706BEC">
            <w:pPr>
              <w:pStyle w:val="tv213"/>
              <w:spacing w:before="0" w:beforeAutospacing="0" w:after="0" w:afterAutospacing="0"/>
              <w:jc w:val="both"/>
              <w:rPr>
                <w:color w:val="000000" w:themeColor="text1"/>
                <w:sz w:val="28"/>
              </w:rPr>
            </w:pPr>
            <w:r>
              <w:rPr>
                <w:color w:val="000000" w:themeColor="text1"/>
                <w:sz w:val="28"/>
              </w:rPr>
              <w:t>1.</w:t>
            </w:r>
            <w:r w:rsidR="005F3960">
              <w:rPr>
                <w:color w:val="000000" w:themeColor="text1"/>
                <w:sz w:val="28"/>
              </w:rPr>
              <w:t xml:space="preserve"> </w:t>
            </w:r>
            <w:r w:rsidR="00F16E4A" w:rsidRPr="00706BEC">
              <w:rPr>
                <w:sz w:val="28"/>
              </w:rPr>
              <w:t>budžeta iestād</w:t>
            </w:r>
            <w:r w:rsidR="008906FE">
              <w:rPr>
                <w:sz w:val="28"/>
              </w:rPr>
              <w:t>ēm</w:t>
            </w:r>
            <w:r w:rsidR="00F16E4A" w:rsidRPr="00706BEC">
              <w:rPr>
                <w:sz w:val="28"/>
              </w:rPr>
              <w:t>, no valsts budžeta daļēji finansēt</w:t>
            </w:r>
            <w:r w:rsidR="008906FE">
              <w:rPr>
                <w:sz w:val="28"/>
              </w:rPr>
              <w:t>ām</w:t>
            </w:r>
            <w:r w:rsidR="00F16E4A" w:rsidRPr="00706BEC">
              <w:rPr>
                <w:sz w:val="28"/>
              </w:rPr>
              <w:t xml:space="preserve"> atvasināt</w:t>
            </w:r>
            <w:r w:rsidR="008906FE">
              <w:rPr>
                <w:sz w:val="28"/>
              </w:rPr>
              <w:t>ām</w:t>
            </w:r>
            <w:r w:rsidR="00F16E4A" w:rsidRPr="00706BEC">
              <w:rPr>
                <w:sz w:val="28"/>
              </w:rPr>
              <w:t xml:space="preserve"> publisk</w:t>
            </w:r>
            <w:r w:rsidR="008906FE">
              <w:rPr>
                <w:sz w:val="28"/>
              </w:rPr>
              <w:t>ām</w:t>
            </w:r>
            <w:r w:rsidR="00F16E4A" w:rsidRPr="00706BEC">
              <w:rPr>
                <w:sz w:val="28"/>
              </w:rPr>
              <w:t xml:space="preserve"> person</w:t>
            </w:r>
            <w:r w:rsidR="008906FE">
              <w:rPr>
                <w:sz w:val="28"/>
              </w:rPr>
              <w:t>ām</w:t>
            </w:r>
            <w:r w:rsidR="00F16E4A" w:rsidRPr="00706BEC">
              <w:rPr>
                <w:sz w:val="28"/>
              </w:rPr>
              <w:t xml:space="preserve"> un budžeta nefinansēt</w:t>
            </w:r>
            <w:r w:rsidR="008906FE">
              <w:rPr>
                <w:sz w:val="28"/>
              </w:rPr>
              <w:t>ām</w:t>
            </w:r>
            <w:r w:rsidR="00F16E4A" w:rsidRPr="00706BEC">
              <w:rPr>
                <w:sz w:val="28"/>
              </w:rPr>
              <w:t xml:space="preserve"> iestād</w:t>
            </w:r>
            <w:r w:rsidR="008906FE">
              <w:rPr>
                <w:sz w:val="28"/>
              </w:rPr>
              <w:t>ēm</w:t>
            </w:r>
            <w:r w:rsidR="00F16E4A" w:rsidRPr="00706BEC">
              <w:rPr>
                <w:sz w:val="28"/>
              </w:rPr>
              <w:t xml:space="preserve"> </w:t>
            </w:r>
            <w:r w:rsidR="00185CF9" w:rsidRPr="00706BEC">
              <w:rPr>
                <w:sz w:val="28"/>
              </w:rPr>
              <w:t xml:space="preserve">2016.-2018.gada pārskatos veidlapā Nr.2 "Pārskats par budžeta izpildi" </w:t>
            </w:r>
            <w:r w:rsidR="008906FE">
              <w:rPr>
                <w:sz w:val="28"/>
              </w:rPr>
              <w:t>nebūs jā</w:t>
            </w:r>
            <w:r w:rsidR="00185CF9" w:rsidRPr="00706BEC">
              <w:rPr>
                <w:sz w:val="28"/>
              </w:rPr>
              <w:t>norāda informāciju atbilstoši institucionālajiem sektoriem</w:t>
            </w:r>
            <w:r w:rsidR="00185CF9" w:rsidRPr="00706BEC">
              <w:rPr>
                <w:color w:val="000000" w:themeColor="text1"/>
                <w:sz w:val="28"/>
              </w:rPr>
              <w:t>;</w:t>
            </w:r>
          </w:p>
          <w:p w:rsidR="0051367B" w:rsidRDefault="00580692" w:rsidP="00706BEC">
            <w:pPr>
              <w:pStyle w:val="tv213"/>
              <w:spacing w:before="0" w:beforeAutospacing="0" w:after="0" w:afterAutospacing="0"/>
              <w:jc w:val="both"/>
              <w:rPr>
                <w:color w:val="000000" w:themeColor="text1"/>
                <w:sz w:val="28"/>
              </w:rPr>
            </w:pPr>
            <w:r>
              <w:rPr>
                <w:color w:val="000000" w:themeColor="text1"/>
                <w:sz w:val="28"/>
              </w:rPr>
              <w:t>2.</w:t>
            </w:r>
            <w:r w:rsidR="009B5593" w:rsidRPr="00706BEC">
              <w:rPr>
                <w:color w:val="000000" w:themeColor="text1"/>
                <w:sz w:val="28"/>
              </w:rPr>
              <w:t xml:space="preserve"> </w:t>
            </w:r>
            <w:r w:rsidR="00F16E4A" w:rsidRPr="00AD4ACD">
              <w:rPr>
                <w:sz w:val="28"/>
              </w:rPr>
              <w:t>budžeta iestād</w:t>
            </w:r>
            <w:r w:rsidR="00BB7F77" w:rsidRPr="00AD4ACD">
              <w:rPr>
                <w:sz w:val="28"/>
              </w:rPr>
              <w:t>es</w:t>
            </w:r>
            <w:r w:rsidR="00F16E4A" w:rsidRPr="00AD4ACD">
              <w:rPr>
                <w:sz w:val="28"/>
              </w:rPr>
              <w:t xml:space="preserve">, no valsts budžeta daļēji </w:t>
            </w:r>
            <w:r w:rsidR="00BB7F77" w:rsidRPr="00AD4ACD">
              <w:rPr>
                <w:sz w:val="28"/>
              </w:rPr>
              <w:t xml:space="preserve">finansētas atvasinātas publiskas personas </w:t>
            </w:r>
            <w:r w:rsidR="00F16E4A" w:rsidRPr="00AD4ACD">
              <w:rPr>
                <w:sz w:val="28"/>
              </w:rPr>
              <w:t xml:space="preserve">un budžeta </w:t>
            </w:r>
            <w:r w:rsidR="00BB7F77" w:rsidRPr="00AD4ACD">
              <w:rPr>
                <w:sz w:val="28"/>
              </w:rPr>
              <w:t xml:space="preserve">nefinansētas iestādes </w:t>
            </w:r>
            <w:r w:rsidR="00185CF9" w:rsidRPr="00AD4ACD">
              <w:rPr>
                <w:color w:val="000000" w:themeColor="text1"/>
                <w:sz w:val="28"/>
              </w:rPr>
              <w:t xml:space="preserve">sniedz </w:t>
            </w:r>
            <w:r w:rsidR="00BB7F77" w:rsidRPr="00AD4ACD">
              <w:rPr>
                <w:color w:val="000000" w:themeColor="text1"/>
                <w:sz w:val="28"/>
              </w:rPr>
              <w:t xml:space="preserve">informāciju </w:t>
            </w:r>
            <w:r w:rsidR="00185CF9" w:rsidRPr="00AD4ACD">
              <w:rPr>
                <w:color w:val="000000" w:themeColor="text1"/>
                <w:sz w:val="28"/>
              </w:rPr>
              <w:t>par valstij aktuālajiem tiesvedības procesiem</w:t>
            </w:r>
            <w:r w:rsidR="00165704">
              <w:rPr>
                <w:color w:val="000000" w:themeColor="text1"/>
                <w:sz w:val="28"/>
              </w:rPr>
              <w:t xml:space="preserve"> atbilstoši saviem ieskatiem</w:t>
            </w:r>
            <w:r w:rsidR="0051367B">
              <w:rPr>
                <w:color w:val="000000" w:themeColor="text1"/>
                <w:sz w:val="28"/>
              </w:rPr>
              <w:t>. Lai iegūtu klasificējamu un apkopojamu informāciju, turpmāk informācija jāsniedz</w:t>
            </w:r>
            <w:r w:rsidR="0051367B" w:rsidRPr="00AD4ACD">
              <w:rPr>
                <w:color w:val="000000" w:themeColor="text1"/>
                <w:sz w:val="28"/>
              </w:rPr>
              <w:t xml:space="preserve"> </w:t>
            </w:r>
            <w:r w:rsidR="005F3960" w:rsidRPr="00AD4ACD">
              <w:rPr>
                <w:color w:val="000000" w:themeColor="text1"/>
                <w:sz w:val="28"/>
              </w:rPr>
              <w:t>noteikumu grozījumos noteikt</w:t>
            </w:r>
            <w:r w:rsidR="0051367B">
              <w:rPr>
                <w:color w:val="000000" w:themeColor="text1"/>
                <w:sz w:val="28"/>
              </w:rPr>
              <w:t>aj</w:t>
            </w:r>
            <w:r w:rsidR="005F3960" w:rsidRPr="00AD4ACD">
              <w:rPr>
                <w:color w:val="000000" w:themeColor="text1"/>
                <w:sz w:val="28"/>
              </w:rPr>
              <w:t>ā</w:t>
            </w:r>
            <w:r w:rsidR="00BB7F77" w:rsidRPr="00AD4ACD">
              <w:rPr>
                <w:color w:val="000000" w:themeColor="text1"/>
                <w:sz w:val="28"/>
              </w:rPr>
              <w:t xml:space="preserve"> </w:t>
            </w:r>
            <w:r w:rsidR="005F3960" w:rsidRPr="00AD4ACD">
              <w:rPr>
                <w:color w:val="000000" w:themeColor="text1"/>
                <w:sz w:val="28"/>
              </w:rPr>
              <w:t>apjomā</w:t>
            </w:r>
            <w:r w:rsidR="00DA7EC3">
              <w:rPr>
                <w:color w:val="000000" w:themeColor="text1"/>
                <w:sz w:val="28"/>
              </w:rPr>
              <w:t>.</w:t>
            </w:r>
          </w:p>
          <w:p w:rsidR="00D5188D" w:rsidRDefault="00580692" w:rsidP="00572B55">
            <w:pPr>
              <w:pStyle w:val="tv213"/>
              <w:spacing w:before="0" w:beforeAutospacing="0" w:after="0" w:afterAutospacing="0"/>
              <w:jc w:val="both"/>
              <w:rPr>
                <w:color w:val="000000" w:themeColor="text1"/>
                <w:sz w:val="28"/>
              </w:rPr>
            </w:pPr>
            <w:r>
              <w:rPr>
                <w:color w:val="000000" w:themeColor="text1"/>
                <w:sz w:val="28"/>
              </w:rPr>
              <w:t>3.</w:t>
            </w:r>
            <w:r w:rsidR="008906FE">
              <w:rPr>
                <w:color w:val="000000" w:themeColor="text1"/>
                <w:sz w:val="28"/>
              </w:rPr>
              <w:t xml:space="preserve"> </w:t>
            </w:r>
            <w:r w:rsidR="00FD692A">
              <w:rPr>
                <w:color w:val="000000" w:themeColor="text1"/>
                <w:sz w:val="28"/>
              </w:rPr>
              <w:t>iestādes, kas veic konsolidāciju</w:t>
            </w:r>
            <w:r w:rsidR="00B17371">
              <w:rPr>
                <w:color w:val="000000" w:themeColor="text1"/>
                <w:sz w:val="28"/>
              </w:rPr>
              <w:t>,</w:t>
            </w:r>
            <w:r w:rsidR="00FD692A">
              <w:rPr>
                <w:color w:val="000000" w:themeColor="text1"/>
                <w:sz w:val="28"/>
              </w:rPr>
              <w:t xml:space="preserve"> </w:t>
            </w:r>
            <w:r w:rsidR="007D0808">
              <w:rPr>
                <w:color w:val="000000" w:themeColor="text1"/>
                <w:sz w:val="28"/>
              </w:rPr>
              <w:t xml:space="preserve">līdz šim </w:t>
            </w:r>
            <w:r w:rsidR="00FD692A">
              <w:rPr>
                <w:color w:val="000000" w:themeColor="text1"/>
                <w:sz w:val="28"/>
              </w:rPr>
              <w:t>sagatavo</w:t>
            </w:r>
            <w:r w:rsidR="007D0808">
              <w:rPr>
                <w:color w:val="000000" w:themeColor="text1"/>
                <w:sz w:val="28"/>
              </w:rPr>
              <w:t>ja</w:t>
            </w:r>
            <w:r w:rsidR="00FD692A">
              <w:rPr>
                <w:color w:val="000000" w:themeColor="text1"/>
                <w:sz w:val="28"/>
              </w:rPr>
              <w:t xml:space="preserve"> skaidrojumus par</w:t>
            </w:r>
            <w:r w:rsidR="000577A4">
              <w:rPr>
                <w:color w:val="000000" w:themeColor="text1"/>
                <w:sz w:val="28"/>
              </w:rPr>
              <w:t xml:space="preserve"> būtiskām izmaiņām</w:t>
            </w:r>
            <w:r w:rsidR="00B17371">
              <w:rPr>
                <w:color w:val="000000" w:themeColor="text1"/>
                <w:sz w:val="28"/>
              </w:rPr>
              <w:t xml:space="preserve"> atbilstoši iestādes noteiktajam būtiskuma līmenim. </w:t>
            </w:r>
            <w:r w:rsidR="000577A4">
              <w:rPr>
                <w:color w:val="000000" w:themeColor="text1"/>
                <w:sz w:val="28"/>
              </w:rPr>
              <w:t xml:space="preserve"> </w:t>
            </w:r>
            <w:r w:rsidR="00B17371">
              <w:rPr>
                <w:color w:val="000000" w:themeColor="text1"/>
                <w:sz w:val="28"/>
              </w:rPr>
              <w:t>Noteikumu grozījumi visām konsolidējošām iestādēm nosaka vienotu būtiskuma līmeņa pielietošan</w:t>
            </w:r>
            <w:r w:rsidR="00B03061">
              <w:rPr>
                <w:color w:val="000000" w:themeColor="text1"/>
                <w:sz w:val="28"/>
              </w:rPr>
              <w:t>as</w:t>
            </w:r>
            <w:r w:rsidR="007D0808">
              <w:rPr>
                <w:color w:val="000000" w:themeColor="text1"/>
                <w:sz w:val="28"/>
              </w:rPr>
              <w:t xml:space="preserve"> </w:t>
            </w:r>
            <w:r w:rsidR="009A2FD6">
              <w:rPr>
                <w:color w:val="000000" w:themeColor="text1"/>
                <w:sz w:val="28"/>
              </w:rPr>
              <w:t xml:space="preserve">principus </w:t>
            </w:r>
            <w:r w:rsidR="007D0808">
              <w:rPr>
                <w:color w:val="000000" w:themeColor="text1"/>
                <w:sz w:val="28"/>
              </w:rPr>
              <w:t>skaidrojumu sniegšana</w:t>
            </w:r>
            <w:r w:rsidR="009A2FD6">
              <w:rPr>
                <w:color w:val="000000" w:themeColor="text1"/>
                <w:sz w:val="28"/>
              </w:rPr>
              <w:t>i</w:t>
            </w:r>
            <w:r w:rsidR="00B17371">
              <w:rPr>
                <w:color w:val="000000" w:themeColor="text1"/>
                <w:sz w:val="28"/>
              </w:rPr>
              <w:t>.</w:t>
            </w:r>
          </w:p>
          <w:p w:rsidR="00A90219" w:rsidRPr="00706BEC" w:rsidRDefault="00580692" w:rsidP="00A01137">
            <w:pPr>
              <w:pStyle w:val="tv213"/>
              <w:spacing w:before="0" w:beforeAutospacing="0" w:after="0" w:afterAutospacing="0"/>
              <w:jc w:val="both"/>
              <w:rPr>
                <w:color w:val="000000" w:themeColor="text1"/>
                <w:sz w:val="28"/>
              </w:rPr>
            </w:pPr>
            <w:r>
              <w:rPr>
                <w:color w:val="000000" w:themeColor="text1"/>
                <w:sz w:val="28"/>
              </w:rPr>
              <w:t>4.</w:t>
            </w:r>
            <w:r w:rsidR="00D5188D">
              <w:rPr>
                <w:color w:val="000000" w:themeColor="text1"/>
                <w:sz w:val="28"/>
              </w:rPr>
              <w:t xml:space="preserve"> </w:t>
            </w:r>
            <w:r w:rsidR="00A01137">
              <w:rPr>
                <w:color w:val="000000" w:themeColor="text1"/>
                <w:sz w:val="28"/>
              </w:rPr>
              <w:t xml:space="preserve">spēkā esošā noteikumu norma paredz, ka </w:t>
            </w:r>
            <w:r w:rsidR="00D5188D">
              <w:rPr>
                <w:color w:val="000000" w:themeColor="text1"/>
                <w:sz w:val="28"/>
              </w:rPr>
              <w:t>pašvaldības sniedz</w:t>
            </w:r>
            <w:r w:rsidR="00A01137" w:rsidRPr="00F01DF7">
              <w:rPr>
                <w:sz w:val="28"/>
                <w:szCs w:val="28"/>
              </w:rPr>
              <w:t xml:space="preserve"> apliecinājumu Valsts kasei (Finanšu ministrijai) par gada pārskatā sniegtās informācijas patiesumu</w:t>
            </w:r>
            <w:r w:rsidR="00A01137">
              <w:rPr>
                <w:color w:val="000000" w:themeColor="text1"/>
                <w:sz w:val="28"/>
              </w:rPr>
              <w:t xml:space="preserve">. Noteikumu grozījumos </w:t>
            </w:r>
            <w:r w:rsidR="00D5188D">
              <w:rPr>
                <w:color w:val="000000" w:themeColor="text1"/>
                <w:sz w:val="28"/>
              </w:rPr>
              <w:t>apliecinājumam pievienoti divi papildus apliecināmie punkti.</w:t>
            </w:r>
          </w:p>
        </w:tc>
      </w:tr>
      <w:tr w:rsidR="00082EBE" w:rsidRPr="00082EBE"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C5282" w:rsidRPr="007220BD" w:rsidRDefault="009C5282" w:rsidP="009C5282">
            <w:pPr>
              <w:spacing w:after="0" w:line="240" w:lineRule="auto"/>
              <w:rPr>
                <w:rFonts w:ascii="Times New Roman" w:eastAsia="Times New Roman" w:hAnsi="Times New Roman" w:cs="Times New Roman"/>
                <w:sz w:val="28"/>
                <w:szCs w:val="28"/>
                <w:lang w:eastAsia="lv-LV"/>
              </w:rPr>
            </w:pPr>
            <w:r w:rsidRPr="007220BD">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C5282" w:rsidRPr="007220BD" w:rsidRDefault="009C5282" w:rsidP="009C5282">
            <w:pPr>
              <w:spacing w:after="0" w:line="240" w:lineRule="auto"/>
              <w:rPr>
                <w:rFonts w:ascii="Times New Roman" w:eastAsia="Times New Roman" w:hAnsi="Times New Roman" w:cs="Times New Roman"/>
                <w:sz w:val="28"/>
                <w:szCs w:val="28"/>
                <w:lang w:eastAsia="lv-LV"/>
              </w:rPr>
            </w:pPr>
            <w:r w:rsidRPr="007220BD">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C5282" w:rsidRDefault="007220BD" w:rsidP="00572B5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grozījumi nepalielina administratīvo slogu. Ir novērtētas administratīvās izmaksas grozījumos ietverto normu izpildei.</w:t>
            </w:r>
            <w:r w:rsidR="008D74D9">
              <w:rPr>
                <w:rFonts w:ascii="Times New Roman" w:eastAsia="Times New Roman" w:hAnsi="Times New Roman" w:cs="Times New Roman"/>
                <w:sz w:val="28"/>
                <w:szCs w:val="28"/>
                <w:lang w:eastAsia="lv-LV"/>
              </w:rPr>
              <w:t xml:space="preserve"> Stundas samaksas likmes aprēķinam izmantoti Centrālās statistikas pārvaldes publicētie dati par s</w:t>
            </w:r>
            <w:r w:rsidR="008D74D9" w:rsidRPr="008D74D9">
              <w:rPr>
                <w:rFonts w:ascii="Times New Roman" w:eastAsia="Times New Roman" w:hAnsi="Times New Roman" w:cs="Times New Roman"/>
                <w:sz w:val="28"/>
                <w:szCs w:val="28"/>
                <w:lang w:eastAsia="lv-LV"/>
              </w:rPr>
              <w:t>trādājošo mēneša vidēj</w:t>
            </w:r>
            <w:r w:rsidR="008D74D9">
              <w:rPr>
                <w:rFonts w:ascii="Times New Roman" w:eastAsia="Times New Roman" w:hAnsi="Times New Roman" w:cs="Times New Roman"/>
                <w:sz w:val="28"/>
                <w:szCs w:val="28"/>
                <w:lang w:eastAsia="lv-LV"/>
              </w:rPr>
              <w:t>o</w:t>
            </w:r>
            <w:r w:rsidR="008D74D9" w:rsidRPr="008D74D9">
              <w:rPr>
                <w:rFonts w:ascii="Times New Roman" w:eastAsia="Times New Roman" w:hAnsi="Times New Roman" w:cs="Times New Roman"/>
                <w:sz w:val="28"/>
                <w:szCs w:val="28"/>
                <w:lang w:eastAsia="lv-LV"/>
              </w:rPr>
              <w:t xml:space="preserve"> darba samaks</w:t>
            </w:r>
            <w:r w:rsidR="008D74D9">
              <w:rPr>
                <w:rFonts w:ascii="Times New Roman" w:eastAsia="Times New Roman" w:hAnsi="Times New Roman" w:cs="Times New Roman"/>
                <w:sz w:val="28"/>
                <w:szCs w:val="28"/>
                <w:lang w:eastAsia="lv-LV"/>
              </w:rPr>
              <w:t>u</w:t>
            </w:r>
            <w:r w:rsidR="008D74D9" w:rsidRPr="008D74D9">
              <w:rPr>
                <w:rFonts w:ascii="Times New Roman" w:eastAsia="Times New Roman" w:hAnsi="Times New Roman" w:cs="Times New Roman"/>
                <w:sz w:val="28"/>
                <w:szCs w:val="28"/>
                <w:lang w:eastAsia="lv-LV"/>
              </w:rPr>
              <w:t xml:space="preserve"> pa mēnešiem</w:t>
            </w:r>
            <w:r w:rsidR="008D74D9">
              <w:rPr>
                <w:rFonts w:ascii="Times New Roman" w:eastAsia="Times New Roman" w:hAnsi="Times New Roman" w:cs="Times New Roman"/>
                <w:sz w:val="28"/>
                <w:szCs w:val="28"/>
                <w:lang w:eastAsia="lv-LV"/>
              </w:rPr>
              <w:t xml:space="preserve"> vispārējās valdības sektora iestādēs 2015.gada deviņos mēne</w:t>
            </w:r>
            <w:r w:rsidR="00224FAB">
              <w:rPr>
                <w:rFonts w:ascii="Times New Roman" w:eastAsia="Times New Roman" w:hAnsi="Times New Roman" w:cs="Times New Roman"/>
                <w:sz w:val="28"/>
                <w:szCs w:val="28"/>
                <w:lang w:eastAsia="lv-LV"/>
              </w:rPr>
              <w:t xml:space="preserve">šos, kas ir </w:t>
            </w:r>
            <w:r w:rsidR="001655DC">
              <w:rPr>
                <w:rFonts w:ascii="Times New Roman" w:eastAsia="Times New Roman" w:hAnsi="Times New Roman" w:cs="Times New Roman"/>
                <w:sz w:val="28"/>
                <w:szCs w:val="28"/>
                <w:lang w:eastAsia="lv-LV"/>
              </w:rPr>
              <w:t>788,89 EUR</w:t>
            </w:r>
            <w:r w:rsidR="00922248">
              <w:rPr>
                <w:rFonts w:ascii="Times New Roman" w:eastAsia="Times New Roman" w:hAnsi="Times New Roman" w:cs="Times New Roman"/>
                <w:sz w:val="28"/>
                <w:szCs w:val="28"/>
                <w:lang w:eastAsia="lv-LV"/>
              </w:rPr>
              <w:t>, vidējais darba dienu skaits – 20,89, s</w:t>
            </w:r>
            <w:r w:rsidR="001655DC">
              <w:rPr>
                <w:rFonts w:ascii="Times New Roman" w:eastAsia="Times New Roman" w:hAnsi="Times New Roman" w:cs="Times New Roman"/>
                <w:sz w:val="28"/>
                <w:szCs w:val="28"/>
                <w:lang w:eastAsia="lv-LV"/>
              </w:rPr>
              <w:t>tundas likme – 4,72</w:t>
            </w:r>
            <w:r w:rsidR="00395927">
              <w:rPr>
                <w:rFonts w:ascii="Times New Roman" w:eastAsia="Times New Roman" w:hAnsi="Times New Roman" w:cs="Times New Roman"/>
                <w:sz w:val="28"/>
                <w:szCs w:val="28"/>
                <w:lang w:eastAsia="lv-LV"/>
              </w:rPr>
              <w:t> </w:t>
            </w:r>
            <w:r w:rsidR="001655DC">
              <w:rPr>
                <w:rFonts w:ascii="Times New Roman" w:eastAsia="Times New Roman" w:hAnsi="Times New Roman" w:cs="Times New Roman"/>
                <w:sz w:val="28"/>
                <w:szCs w:val="28"/>
                <w:lang w:eastAsia="lv-LV"/>
              </w:rPr>
              <w:t>EUR.</w:t>
            </w:r>
            <w:r w:rsidR="00021B9E">
              <w:rPr>
                <w:rFonts w:ascii="Times New Roman" w:eastAsia="Times New Roman" w:hAnsi="Times New Roman" w:cs="Times New Roman"/>
                <w:sz w:val="28"/>
                <w:szCs w:val="28"/>
                <w:lang w:eastAsia="lv-LV"/>
              </w:rPr>
              <w:t xml:space="preserve"> Administratīvās izmaksas aprēķinātas pēc formulas: stundas likme x laika patēriņš x subjektu skaits x informācijas sniegšanas biežums.</w:t>
            </w:r>
          </w:p>
          <w:p w:rsidR="007220BD" w:rsidRDefault="007220BD" w:rsidP="00B03061">
            <w:pPr>
              <w:pStyle w:val="ListParagraph"/>
              <w:numPr>
                <w:ilvl w:val="0"/>
                <w:numId w:val="10"/>
              </w:numPr>
              <w:spacing w:after="0" w:line="240" w:lineRule="auto"/>
              <w:ind w:left="115" w:firstLine="245"/>
              <w:jc w:val="both"/>
              <w:rPr>
                <w:rFonts w:ascii="Times New Roman" w:eastAsia="Times New Roman" w:hAnsi="Times New Roman" w:cs="Times New Roman"/>
                <w:sz w:val="28"/>
                <w:szCs w:val="28"/>
                <w:lang w:eastAsia="lv-LV"/>
              </w:rPr>
            </w:pPr>
            <w:r w:rsidRPr="007220BD">
              <w:rPr>
                <w:rFonts w:ascii="Times New Roman" w:eastAsia="Times New Roman" w:hAnsi="Times New Roman" w:cs="Times New Roman"/>
                <w:sz w:val="28"/>
                <w:szCs w:val="28"/>
                <w:lang w:eastAsia="lv-LV"/>
              </w:rPr>
              <w:t xml:space="preserve">Ņemot vērā, ka informāciju par tiesvedībām iestādes sniedza arī līdz šim, tad </w:t>
            </w:r>
            <w:r w:rsidR="00144F66">
              <w:rPr>
                <w:rFonts w:ascii="Times New Roman" w:eastAsia="Times New Roman" w:hAnsi="Times New Roman" w:cs="Times New Roman"/>
                <w:sz w:val="28"/>
                <w:szCs w:val="28"/>
                <w:lang w:eastAsia="lv-LV"/>
              </w:rPr>
              <w:t xml:space="preserve">informācijas sagatavošanas </w:t>
            </w:r>
            <w:r w:rsidRPr="007220BD">
              <w:rPr>
                <w:rFonts w:ascii="Times New Roman" w:eastAsia="Times New Roman" w:hAnsi="Times New Roman" w:cs="Times New Roman"/>
                <w:sz w:val="28"/>
                <w:szCs w:val="28"/>
                <w:lang w:eastAsia="lv-LV"/>
              </w:rPr>
              <w:t>izmaksas</w:t>
            </w:r>
            <w:r w:rsidR="00144F66">
              <w:rPr>
                <w:rFonts w:ascii="Times New Roman" w:eastAsia="Times New Roman" w:hAnsi="Times New Roman" w:cs="Times New Roman"/>
                <w:sz w:val="28"/>
                <w:szCs w:val="28"/>
                <w:lang w:eastAsia="lv-LV"/>
              </w:rPr>
              <w:t xml:space="preserve"> </w:t>
            </w:r>
            <w:r w:rsidR="00224FAB">
              <w:rPr>
                <w:rFonts w:ascii="Times New Roman" w:eastAsia="Times New Roman" w:hAnsi="Times New Roman" w:cs="Times New Roman"/>
                <w:sz w:val="28"/>
                <w:szCs w:val="28"/>
                <w:lang w:eastAsia="lv-LV"/>
              </w:rPr>
              <w:t>ir</w:t>
            </w:r>
            <w:r w:rsidRPr="007220BD">
              <w:rPr>
                <w:rFonts w:ascii="Times New Roman" w:eastAsia="Times New Roman" w:hAnsi="Times New Roman" w:cs="Times New Roman"/>
                <w:sz w:val="28"/>
                <w:szCs w:val="28"/>
                <w:lang w:eastAsia="lv-LV"/>
              </w:rPr>
              <w:t xml:space="preserve"> 9</w:t>
            </w:r>
            <w:r w:rsidR="00397584">
              <w:rPr>
                <w:rFonts w:ascii="Times New Roman" w:eastAsia="Times New Roman" w:hAnsi="Times New Roman" w:cs="Times New Roman"/>
                <w:sz w:val="28"/>
                <w:szCs w:val="28"/>
                <w:lang w:eastAsia="lv-LV"/>
              </w:rPr>
              <w:t>,</w:t>
            </w:r>
            <w:r w:rsidRPr="007220BD">
              <w:rPr>
                <w:rFonts w:ascii="Times New Roman" w:eastAsia="Times New Roman" w:hAnsi="Times New Roman" w:cs="Times New Roman"/>
                <w:sz w:val="28"/>
                <w:szCs w:val="28"/>
                <w:lang w:eastAsia="lv-LV"/>
              </w:rPr>
              <w:t>44 EUR</w:t>
            </w:r>
            <w:r w:rsidR="00224FAB">
              <w:rPr>
                <w:rFonts w:ascii="Times New Roman" w:eastAsia="Times New Roman" w:hAnsi="Times New Roman" w:cs="Times New Roman"/>
                <w:sz w:val="28"/>
                <w:szCs w:val="28"/>
                <w:lang w:eastAsia="lv-LV"/>
              </w:rPr>
              <w:t xml:space="preserve"> (</w:t>
            </w:r>
            <w:r w:rsidR="00021B9E">
              <w:rPr>
                <w:rFonts w:ascii="Times New Roman" w:eastAsia="Times New Roman" w:hAnsi="Times New Roman" w:cs="Times New Roman"/>
                <w:sz w:val="28"/>
                <w:szCs w:val="28"/>
                <w:lang w:eastAsia="lv-LV"/>
              </w:rPr>
              <w:t>4</w:t>
            </w:r>
            <w:r w:rsidR="00397584">
              <w:rPr>
                <w:rFonts w:ascii="Times New Roman" w:eastAsia="Times New Roman" w:hAnsi="Times New Roman" w:cs="Times New Roman"/>
                <w:sz w:val="28"/>
                <w:szCs w:val="28"/>
                <w:lang w:eastAsia="lv-LV"/>
              </w:rPr>
              <w:t>,</w:t>
            </w:r>
            <w:r w:rsidR="00021B9E">
              <w:rPr>
                <w:rFonts w:ascii="Times New Roman" w:eastAsia="Times New Roman" w:hAnsi="Times New Roman" w:cs="Times New Roman"/>
                <w:sz w:val="28"/>
                <w:szCs w:val="28"/>
                <w:lang w:eastAsia="lv-LV"/>
              </w:rPr>
              <w:t>72 x 1 x 2 x 1).</w:t>
            </w:r>
          </w:p>
          <w:p w:rsidR="007D0808" w:rsidRDefault="00021B9E" w:rsidP="00B03061">
            <w:pPr>
              <w:pStyle w:val="ListParagraph"/>
              <w:numPr>
                <w:ilvl w:val="0"/>
                <w:numId w:val="10"/>
              </w:numPr>
              <w:spacing w:after="0" w:line="240" w:lineRule="auto"/>
              <w:ind w:left="115" w:firstLine="2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Administratīvās izmaksas, ko rada</w:t>
            </w:r>
            <w:r w:rsidR="007D080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noteikum</w:t>
            </w:r>
            <w:r w:rsidR="007D0808">
              <w:rPr>
                <w:rFonts w:ascii="Times New Roman" w:eastAsia="Times New Roman" w:hAnsi="Times New Roman" w:cs="Times New Roman"/>
                <w:sz w:val="28"/>
                <w:szCs w:val="28"/>
                <w:lang w:eastAsia="lv-LV"/>
              </w:rPr>
              <w:t>u grozījumos</w:t>
            </w:r>
            <w:r>
              <w:rPr>
                <w:rFonts w:ascii="Times New Roman" w:eastAsia="Times New Roman" w:hAnsi="Times New Roman" w:cs="Times New Roman"/>
                <w:sz w:val="28"/>
                <w:szCs w:val="28"/>
                <w:lang w:eastAsia="lv-LV"/>
              </w:rPr>
              <w:t xml:space="preserve"> iekļautā norma par skaidrojumu sniegšanu atbilstoši noteiktajam būtiskuma līmenim, aprēķinātas ņemot vērā </w:t>
            </w:r>
            <w:r w:rsidR="007D0808">
              <w:rPr>
                <w:rFonts w:ascii="Times New Roman" w:eastAsia="Times New Roman" w:hAnsi="Times New Roman" w:cs="Times New Roman"/>
                <w:sz w:val="28"/>
                <w:szCs w:val="28"/>
                <w:lang w:eastAsia="lv-LV"/>
              </w:rPr>
              <w:t>veicamās papildus darbības iepriekš noteiktajai noteikumu normai, un tās ir</w:t>
            </w:r>
            <w:r w:rsidR="00B03061">
              <w:rPr>
                <w:rFonts w:ascii="Times New Roman" w:eastAsia="Times New Roman" w:hAnsi="Times New Roman" w:cs="Times New Roman"/>
                <w:sz w:val="28"/>
                <w:szCs w:val="28"/>
                <w:lang w:eastAsia="lv-LV"/>
              </w:rPr>
              <w:t xml:space="preserve"> </w:t>
            </w:r>
            <w:r w:rsidR="007D0808">
              <w:rPr>
                <w:rFonts w:ascii="Times New Roman" w:eastAsia="Times New Roman" w:hAnsi="Times New Roman" w:cs="Times New Roman"/>
                <w:sz w:val="28"/>
                <w:szCs w:val="28"/>
                <w:lang w:eastAsia="lv-LV"/>
              </w:rPr>
              <w:t>5550,72 EUR (4,72 x 8 x 147 x 1).</w:t>
            </w:r>
          </w:p>
          <w:p w:rsidR="00D5188D" w:rsidRPr="00572B55" w:rsidRDefault="00D5188D" w:rsidP="00144F66">
            <w:pPr>
              <w:pStyle w:val="ListParagraph"/>
              <w:numPr>
                <w:ilvl w:val="0"/>
                <w:numId w:val="10"/>
              </w:numPr>
              <w:spacing w:after="0" w:line="240" w:lineRule="auto"/>
              <w:ind w:left="115" w:firstLine="2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w:t>
            </w:r>
            <w:r w:rsidR="00A01137">
              <w:rPr>
                <w:rFonts w:ascii="Times New Roman" w:eastAsia="Times New Roman" w:hAnsi="Times New Roman" w:cs="Times New Roman"/>
                <w:sz w:val="28"/>
                <w:szCs w:val="28"/>
                <w:lang w:eastAsia="lv-LV"/>
              </w:rPr>
              <w:t xml:space="preserve">apliecinājumā </w:t>
            </w:r>
            <w:r w:rsidR="00A01137" w:rsidRPr="00F01DF7">
              <w:rPr>
                <w:rFonts w:ascii="Times New Roman" w:eastAsia="Times New Roman" w:hAnsi="Times New Roman" w:cs="Times New Roman"/>
                <w:sz w:val="28"/>
                <w:szCs w:val="28"/>
                <w:lang w:eastAsia="lv-LV"/>
              </w:rPr>
              <w:t>Valsts kasei (Finanšu ministrijai) par gada pārskatā sniegtās informācijas patiesumu</w:t>
            </w:r>
            <w:r>
              <w:rPr>
                <w:rFonts w:ascii="Times New Roman" w:eastAsia="Times New Roman" w:hAnsi="Times New Roman" w:cs="Times New Roman"/>
                <w:sz w:val="28"/>
                <w:szCs w:val="28"/>
                <w:lang w:eastAsia="lv-LV"/>
              </w:rPr>
              <w:t xml:space="preserve"> iekļautās inform</w:t>
            </w:r>
            <w:r w:rsidR="00F31179">
              <w:rPr>
                <w:rFonts w:ascii="Times New Roman" w:eastAsia="Times New Roman" w:hAnsi="Times New Roman" w:cs="Times New Roman"/>
                <w:sz w:val="28"/>
                <w:szCs w:val="28"/>
                <w:lang w:eastAsia="lv-LV"/>
              </w:rPr>
              <w:t>ācijas</w:t>
            </w:r>
            <w:r>
              <w:rPr>
                <w:rFonts w:ascii="Times New Roman" w:eastAsia="Times New Roman" w:hAnsi="Times New Roman" w:cs="Times New Roman"/>
                <w:sz w:val="28"/>
                <w:szCs w:val="28"/>
                <w:lang w:eastAsia="lv-LV"/>
              </w:rPr>
              <w:t xml:space="preserve"> </w:t>
            </w:r>
            <w:r w:rsidR="00F31179">
              <w:rPr>
                <w:rFonts w:ascii="Times New Roman" w:eastAsia="Times New Roman" w:hAnsi="Times New Roman" w:cs="Times New Roman"/>
                <w:sz w:val="28"/>
                <w:szCs w:val="28"/>
                <w:lang w:eastAsia="lv-LV"/>
              </w:rPr>
              <w:t>ap</w:t>
            </w:r>
            <w:r>
              <w:rPr>
                <w:rFonts w:ascii="Times New Roman" w:eastAsia="Times New Roman" w:hAnsi="Times New Roman" w:cs="Times New Roman"/>
                <w:sz w:val="28"/>
                <w:szCs w:val="28"/>
                <w:lang w:eastAsia="lv-LV"/>
              </w:rPr>
              <w:t>liecināšanas administratīvās izmaksas ir 280,84 EUR (4,72 x 0,5 x 119 x 1).</w:t>
            </w:r>
          </w:p>
        </w:tc>
      </w:tr>
      <w:tr w:rsidR="009C5282" w:rsidRPr="00082EBE" w:rsidTr="009C5282">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C5282" w:rsidRPr="00706BEC" w:rsidRDefault="006A3AC3" w:rsidP="009C5282">
            <w:pPr>
              <w:spacing w:before="100" w:beforeAutospacing="1" w:after="100" w:afterAutospacing="1" w:line="300" w:lineRule="atLeast"/>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Nav</w:t>
            </w:r>
          </w:p>
        </w:tc>
      </w:tr>
    </w:tbl>
    <w:p w:rsidR="009C5282" w:rsidRPr="00082EBE" w:rsidRDefault="009C5282" w:rsidP="00F26672">
      <w:pPr>
        <w:shd w:val="clear" w:color="auto" w:fill="FFFFFF"/>
        <w:spacing w:after="0" w:line="300" w:lineRule="atLeast"/>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2EBE" w:rsidRPr="00082EBE" w:rsidTr="009C5282">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b/>
                <w:bCs/>
                <w:sz w:val="28"/>
                <w:szCs w:val="28"/>
                <w:lang w:eastAsia="lv-LV"/>
              </w:rPr>
            </w:pPr>
            <w:r w:rsidRPr="00082EBE">
              <w:rPr>
                <w:rFonts w:ascii="Times New Roman" w:eastAsia="Times New Roman" w:hAnsi="Times New Roman" w:cs="Times New Roman"/>
                <w:b/>
                <w:bCs/>
                <w:sz w:val="28"/>
                <w:szCs w:val="28"/>
                <w:lang w:eastAsia="lv-LV"/>
              </w:rPr>
              <w:t>VI. Sabiedrības līdzdalība un komunikācijas aktivitātes</w:t>
            </w:r>
          </w:p>
        </w:tc>
      </w:tr>
      <w:tr w:rsidR="00082EBE" w:rsidRPr="00082EBE" w:rsidTr="009C5282">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A1304" w:rsidRPr="00706BEC" w:rsidRDefault="00CA1304" w:rsidP="00706BEC">
            <w:pPr>
              <w:spacing w:after="0" w:line="240" w:lineRule="auto"/>
              <w:jc w:val="both"/>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MK noteikumu grozījumi ir publicēti Valsts kases mājas lapā internetā sadaļā Sabiedrības līdzdalība/Tiesību aktu projekti.</w:t>
            </w:r>
          </w:p>
          <w:p w:rsidR="009C5282" w:rsidRPr="00706BEC" w:rsidRDefault="00CA1304" w:rsidP="000C7D56">
            <w:pPr>
              <w:spacing w:after="0" w:line="240" w:lineRule="auto"/>
              <w:jc w:val="both"/>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Pēc MK noteikumu grozījumu apstiprināšanas t</w:t>
            </w:r>
            <w:r w:rsidR="000C7D56">
              <w:rPr>
                <w:rFonts w:ascii="Times New Roman" w:eastAsia="Times New Roman" w:hAnsi="Times New Roman" w:cs="Times New Roman"/>
                <w:sz w:val="28"/>
                <w:szCs w:val="28"/>
                <w:lang w:eastAsia="lv-LV"/>
              </w:rPr>
              <w:t>os</w:t>
            </w:r>
            <w:r w:rsidRPr="00706BEC">
              <w:rPr>
                <w:rFonts w:ascii="Times New Roman" w:eastAsia="Times New Roman" w:hAnsi="Times New Roman" w:cs="Times New Roman"/>
                <w:sz w:val="28"/>
                <w:szCs w:val="28"/>
                <w:lang w:eastAsia="lv-LV"/>
              </w:rPr>
              <w:t xml:space="preserve"> publicē</w:t>
            </w:r>
            <w:r w:rsidR="000C7D56">
              <w:rPr>
                <w:rFonts w:ascii="Times New Roman" w:eastAsia="Times New Roman" w:hAnsi="Times New Roman" w:cs="Times New Roman"/>
                <w:sz w:val="28"/>
                <w:szCs w:val="28"/>
                <w:lang w:eastAsia="lv-LV"/>
              </w:rPr>
              <w:t>s</w:t>
            </w:r>
            <w:r w:rsidRPr="00706BEC">
              <w:rPr>
                <w:rFonts w:ascii="Times New Roman" w:eastAsia="Times New Roman" w:hAnsi="Times New Roman" w:cs="Times New Roman"/>
                <w:sz w:val="28"/>
                <w:szCs w:val="28"/>
                <w:lang w:eastAsia="lv-LV"/>
              </w:rPr>
              <w:t xml:space="preserve"> Valsts kases mājas lapā internetā un Ministriju, centrālo valsts iestāžu un pašvaldību budžeta pārskatu informācijas sistēmā (ePārskati).</w:t>
            </w:r>
          </w:p>
        </w:tc>
      </w:tr>
      <w:tr w:rsidR="00082EBE" w:rsidRPr="00082EBE" w:rsidTr="009C5282">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C5282" w:rsidRPr="00706BEC" w:rsidRDefault="00D663D5" w:rsidP="009C528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Priekšlikumi un iebildumi nav saņemti</w:t>
            </w:r>
          </w:p>
        </w:tc>
      </w:tr>
      <w:tr w:rsidR="00082EBE" w:rsidRPr="00082EBE" w:rsidTr="009C5282">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C5282" w:rsidRPr="00706BEC" w:rsidRDefault="00D663D5" w:rsidP="009C528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Priekšlikumi un iebildumi nav saņemti</w:t>
            </w:r>
          </w:p>
        </w:tc>
      </w:tr>
      <w:tr w:rsidR="00082EBE" w:rsidRPr="00082EBE" w:rsidTr="009C5282">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C5282" w:rsidRPr="00706BEC" w:rsidRDefault="003D6A85" w:rsidP="009C5282">
            <w:pPr>
              <w:spacing w:before="100" w:beforeAutospacing="1" w:after="100" w:afterAutospacing="1" w:line="300" w:lineRule="atLeast"/>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Nav</w:t>
            </w:r>
          </w:p>
        </w:tc>
      </w:tr>
    </w:tbl>
    <w:p w:rsidR="009C5282" w:rsidRPr="00082EBE" w:rsidRDefault="009C5282" w:rsidP="00F26672">
      <w:pPr>
        <w:shd w:val="clear" w:color="auto" w:fill="FFFFFF"/>
        <w:spacing w:after="0" w:line="300" w:lineRule="atLeast"/>
        <w:ind w:firstLine="301"/>
        <w:rPr>
          <w:rFonts w:ascii="Times New Roman" w:eastAsia="Times New Roman" w:hAnsi="Times New Roman" w:cs="Times New Roman"/>
          <w:sz w:val="28"/>
          <w:szCs w:val="28"/>
          <w:lang w:eastAsia="lv-LV"/>
        </w:rPr>
      </w:pPr>
      <w:r w:rsidRPr="00082EBE">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02"/>
        <w:gridCol w:w="5272"/>
      </w:tblGrid>
      <w:tr w:rsidR="00082EBE" w:rsidRPr="00082EBE" w:rsidTr="000E31D6">
        <w:trPr>
          <w:trHeight w:val="857"/>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C5282" w:rsidRPr="00082EBE" w:rsidRDefault="009C5282" w:rsidP="009C5282">
            <w:pPr>
              <w:spacing w:before="100" w:beforeAutospacing="1" w:after="100" w:afterAutospacing="1" w:line="300" w:lineRule="atLeast"/>
              <w:jc w:val="center"/>
              <w:rPr>
                <w:rFonts w:ascii="Times New Roman" w:eastAsia="Times New Roman" w:hAnsi="Times New Roman" w:cs="Times New Roman"/>
                <w:b/>
                <w:bCs/>
                <w:sz w:val="28"/>
                <w:szCs w:val="28"/>
                <w:lang w:eastAsia="lv-LV"/>
              </w:rPr>
            </w:pPr>
            <w:r w:rsidRPr="00082EBE">
              <w:rPr>
                <w:rFonts w:ascii="Times New Roman" w:eastAsia="Times New Roman" w:hAnsi="Times New Roman" w:cs="Times New Roman"/>
                <w:b/>
                <w:bCs/>
                <w:sz w:val="28"/>
                <w:szCs w:val="28"/>
                <w:lang w:eastAsia="lv-LV"/>
              </w:rPr>
              <w:t>VII. Tiesību akta projekta izpildes nodrošināšana un tās ietekme uz institūcijām</w:t>
            </w:r>
          </w:p>
        </w:tc>
      </w:tr>
      <w:tr w:rsidR="00082EBE" w:rsidRPr="00082EBE" w:rsidTr="000E31D6">
        <w:trPr>
          <w:trHeight w:val="2175"/>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1.</w:t>
            </w:r>
          </w:p>
        </w:tc>
        <w:tc>
          <w:tcPr>
            <w:tcW w:w="1863"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Projekta izpildē iesaistītās institūcijas</w:t>
            </w:r>
          </w:p>
        </w:tc>
        <w:tc>
          <w:tcPr>
            <w:tcW w:w="2887" w:type="pct"/>
            <w:tcBorders>
              <w:top w:val="outset" w:sz="6" w:space="0" w:color="414142"/>
              <w:left w:val="outset" w:sz="6" w:space="0" w:color="414142"/>
              <w:bottom w:val="outset" w:sz="6" w:space="0" w:color="414142"/>
              <w:right w:val="outset" w:sz="6" w:space="0" w:color="414142"/>
            </w:tcBorders>
            <w:hideMark/>
          </w:tcPr>
          <w:p w:rsidR="0060694A" w:rsidRPr="00706BEC" w:rsidRDefault="0060694A" w:rsidP="00C6141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Ministrijas, centrālās valsts iestādes,</w:t>
            </w:r>
            <w:r w:rsidRPr="00706BEC">
              <w:rPr>
                <w:rFonts w:ascii="Times New Roman" w:eastAsia="Times New Roman" w:hAnsi="Times New Roman" w:cs="Times New Roman"/>
                <w:sz w:val="28"/>
                <w:szCs w:val="28"/>
                <w:lang w:eastAsia="lv-LV"/>
              </w:rPr>
              <w:t xml:space="preserve"> valsts budžeta iestādes</w:t>
            </w:r>
            <w:r>
              <w:rPr>
                <w:rFonts w:ascii="Times New Roman" w:eastAsia="Times New Roman" w:hAnsi="Times New Roman" w:cs="Times New Roman"/>
                <w:sz w:val="28"/>
                <w:szCs w:val="28"/>
                <w:lang w:eastAsia="lv-LV"/>
              </w:rPr>
              <w:t xml:space="preserve">, publiskie nodibinājumi, </w:t>
            </w:r>
            <w:r w:rsidRPr="00706BEC">
              <w:rPr>
                <w:rFonts w:ascii="Times New Roman" w:eastAsia="Times New Roman" w:hAnsi="Times New Roman" w:cs="Times New Roman"/>
                <w:sz w:val="28"/>
                <w:szCs w:val="28"/>
                <w:lang w:eastAsia="lv-LV"/>
              </w:rPr>
              <w:t>no valsts budžeta daļēji finansētas atvasinātas publiskas personas, budžeta nefinansētas iestādes</w:t>
            </w:r>
            <w:r>
              <w:rPr>
                <w:rFonts w:ascii="Times New Roman" w:eastAsia="Times New Roman" w:hAnsi="Times New Roman" w:cs="Times New Roman"/>
                <w:sz w:val="28"/>
                <w:szCs w:val="28"/>
                <w:lang w:eastAsia="lv-LV"/>
              </w:rPr>
              <w:t>. Pašvaldības, p</w:t>
            </w:r>
            <w:r w:rsidRPr="00706BEC">
              <w:rPr>
                <w:rFonts w:ascii="Times New Roman" w:eastAsia="Times New Roman" w:hAnsi="Times New Roman" w:cs="Times New Roman"/>
                <w:sz w:val="28"/>
                <w:szCs w:val="28"/>
                <w:lang w:eastAsia="lv-LV"/>
              </w:rPr>
              <w:t xml:space="preserve">ašvaldību budžeta </w:t>
            </w:r>
            <w:r>
              <w:rPr>
                <w:rFonts w:ascii="Times New Roman" w:eastAsia="Times New Roman" w:hAnsi="Times New Roman" w:cs="Times New Roman"/>
                <w:sz w:val="28"/>
                <w:szCs w:val="28"/>
                <w:lang w:eastAsia="lv-LV"/>
              </w:rPr>
              <w:t>un kopīgās iestādes</w:t>
            </w:r>
            <w:r w:rsidRPr="00706BEC">
              <w:rPr>
                <w:rFonts w:ascii="Times New Roman" w:eastAsia="Times New Roman" w:hAnsi="Times New Roman" w:cs="Times New Roman"/>
                <w:sz w:val="28"/>
                <w:szCs w:val="28"/>
                <w:lang w:eastAsia="lv-LV"/>
              </w:rPr>
              <w:t>.</w:t>
            </w:r>
          </w:p>
        </w:tc>
      </w:tr>
      <w:tr w:rsidR="00082EBE" w:rsidRPr="00082EBE" w:rsidTr="00F2667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2.</w:t>
            </w:r>
          </w:p>
        </w:tc>
        <w:tc>
          <w:tcPr>
            <w:tcW w:w="1863"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Projekta izpildes ietekme uz pārvaldes funkcijām un institucionālo struktūru.</w:t>
            </w:r>
          </w:p>
          <w:p w:rsidR="009C5282" w:rsidRPr="00706BEC" w:rsidRDefault="009C5282" w:rsidP="009C5282">
            <w:pPr>
              <w:spacing w:before="100" w:beforeAutospacing="1" w:after="100" w:afterAutospacing="1" w:line="300" w:lineRule="atLeast"/>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right w:val="outset" w:sz="6" w:space="0" w:color="414142"/>
            </w:tcBorders>
            <w:hideMark/>
          </w:tcPr>
          <w:p w:rsidR="009C5282" w:rsidRPr="00706BEC" w:rsidRDefault="005C4057"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Projekts šo jomu neskar</w:t>
            </w:r>
          </w:p>
        </w:tc>
      </w:tr>
      <w:tr w:rsidR="009C5282" w:rsidRPr="00082EBE" w:rsidTr="00F2667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3.</w:t>
            </w:r>
          </w:p>
        </w:tc>
        <w:tc>
          <w:tcPr>
            <w:tcW w:w="1863" w:type="pct"/>
            <w:tcBorders>
              <w:top w:val="outset" w:sz="6" w:space="0" w:color="414142"/>
              <w:left w:val="outset" w:sz="6" w:space="0" w:color="414142"/>
              <w:bottom w:val="outset" w:sz="6" w:space="0" w:color="414142"/>
              <w:right w:val="outset" w:sz="6" w:space="0" w:color="414142"/>
            </w:tcBorders>
            <w:hideMark/>
          </w:tcPr>
          <w:p w:rsidR="009C5282" w:rsidRPr="00706BEC" w:rsidRDefault="009C5282" w:rsidP="009C5282">
            <w:pPr>
              <w:spacing w:after="0" w:line="240" w:lineRule="auto"/>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Cita informācija</w:t>
            </w:r>
          </w:p>
        </w:tc>
        <w:tc>
          <w:tcPr>
            <w:tcW w:w="2887" w:type="pct"/>
            <w:tcBorders>
              <w:top w:val="outset" w:sz="6" w:space="0" w:color="414142"/>
              <w:left w:val="outset" w:sz="6" w:space="0" w:color="414142"/>
              <w:bottom w:val="outset" w:sz="6" w:space="0" w:color="414142"/>
              <w:right w:val="outset" w:sz="6" w:space="0" w:color="414142"/>
            </w:tcBorders>
            <w:hideMark/>
          </w:tcPr>
          <w:p w:rsidR="009C5282" w:rsidRPr="00706BEC" w:rsidRDefault="005C4057" w:rsidP="009C5282">
            <w:pPr>
              <w:spacing w:before="100" w:beforeAutospacing="1" w:after="100" w:afterAutospacing="1" w:line="300" w:lineRule="atLeast"/>
              <w:rPr>
                <w:rFonts w:ascii="Times New Roman" w:eastAsia="Times New Roman" w:hAnsi="Times New Roman" w:cs="Times New Roman"/>
                <w:sz w:val="28"/>
                <w:szCs w:val="28"/>
                <w:lang w:eastAsia="lv-LV"/>
              </w:rPr>
            </w:pPr>
            <w:r w:rsidRPr="00706BEC">
              <w:rPr>
                <w:rFonts w:ascii="Times New Roman" w:eastAsia="Times New Roman" w:hAnsi="Times New Roman" w:cs="Times New Roman"/>
                <w:sz w:val="28"/>
                <w:szCs w:val="28"/>
                <w:lang w:eastAsia="lv-LV"/>
              </w:rPr>
              <w:t>Nav</w:t>
            </w:r>
          </w:p>
        </w:tc>
      </w:tr>
    </w:tbl>
    <w:p w:rsidR="005A1DD9" w:rsidRPr="00706BEC" w:rsidRDefault="00D663D5" w:rsidP="005A1DD9">
      <w:pPr>
        <w:spacing w:before="100" w:beforeAutospacing="1" w:after="100" w:afterAutospacing="1" w:line="300"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w:t>
      </w:r>
      <w:r w:rsidR="005A1DD9" w:rsidRPr="00706BEC">
        <w:rPr>
          <w:rFonts w:ascii="Times New Roman" w:eastAsia="Times New Roman" w:hAnsi="Times New Roman" w:cs="Times New Roman"/>
          <w:sz w:val="28"/>
          <w:szCs w:val="28"/>
          <w:lang w:eastAsia="lv-LV"/>
        </w:rPr>
        <w:t>III, IV</w:t>
      </w:r>
      <w:r>
        <w:rPr>
          <w:rFonts w:ascii="Times New Roman" w:eastAsia="Times New Roman" w:hAnsi="Times New Roman" w:cs="Times New Roman"/>
          <w:sz w:val="28"/>
          <w:szCs w:val="28"/>
          <w:lang w:eastAsia="lv-LV"/>
        </w:rPr>
        <w:t xml:space="preserve"> un</w:t>
      </w:r>
      <w:r w:rsidR="005A1DD9" w:rsidRPr="00706BEC">
        <w:rPr>
          <w:rFonts w:ascii="Times New Roman" w:eastAsia="Times New Roman" w:hAnsi="Times New Roman" w:cs="Times New Roman"/>
          <w:sz w:val="28"/>
          <w:szCs w:val="28"/>
          <w:lang w:eastAsia="lv-LV"/>
        </w:rPr>
        <w:t xml:space="preserve"> V sadaļa – </w:t>
      </w:r>
      <w:r>
        <w:rPr>
          <w:rFonts w:ascii="Times New Roman" w:eastAsia="Times New Roman" w:hAnsi="Times New Roman" w:cs="Times New Roman"/>
          <w:sz w:val="28"/>
          <w:szCs w:val="28"/>
          <w:lang w:eastAsia="lv-LV"/>
        </w:rPr>
        <w:t>p</w:t>
      </w:r>
      <w:r w:rsidR="005A1DD9" w:rsidRPr="00706BEC">
        <w:rPr>
          <w:rFonts w:ascii="Times New Roman" w:eastAsia="Times New Roman" w:hAnsi="Times New Roman" w:cs="Times New Roman"/>
          <w:sz w:val="28"/>
          <w:szCs w:val="28"/>
          <w:lang w:eastAsia="lv-LV"/>
        </w:rPr>
        <w:t>rojekts šīs jomas neskar.</w:t>
      </w:r>
    </w:p>
    <w:p w:rsidR="005A1DD9" w:rsidRPr="00706BEC" w:rsidRDefault="005A1DD9" w:rsidP="005A1DD9">
      <w:pPr>
        <w:pStyle w:val="BodyText2"/>
      </w:pPr>
    </w:p>
    <w:p w:rsidR="005A1DD9" w:rsidRPr="00706BEC" w:rsidRDefault="005A1DD9" w:rsidP="005A1DD9">
      <w:pPr>
        <w:pStyle w:val="BodyText2"/>
      </w:pPr>
      <w:r w:rsidRPr="00706BEC">
        <w:t>Finanšu ministrs</w:t>
      </w:r>
      <w:r w:rsidRPr="00706BEC">
        <w:tab/>
      </w:r>
      <w:r w:rsidRPr="00706BEC">
        <w:tab/>
      </w:r>
      <w:r w:rsidRPr="00706BEC">
        <w:tab/>
      </w:r>
      <w:r w:rsidRPr="00706BEC">
        <w:tab/>
      </w:r>
      <w:r w:rsidRPr="00706BEC">
        <w:tab/>
      </w:r>
      <w:r w:rsidRPr="00706BEC">
        <w:tab/>
      </w:r>
      <w:r w:rsidRPr="00706BEC">
        <w:tab/>
      </w:r>
      <w:r w:rsidRPr="00706BEC">
        <w:tab/>
      </w:r>
      <w:r w:rsidRPr="00706BEC">
        <w:tab/>
        <w:t>J.Reirs</w:t>
      </w:r>
    </w:p>
    <w:p w:rsidR="005A1DD9" w:rsidRPr="00706BEC" w:rsidRDefault="005A1DD9" w:rsidP="005A1DD9">
      <w:pPr>
        <w:jc w:val="both"/>
        <w:rPr>
          <w:szCs w:val="20"/>
        </w:rPr>
      </w:pPr>
    </w:p>
    <w:p w:rsidR="005A1DD9" w:rsidRPr="00706BEC" w:rsidRDefault="005A1DD9" w:rsidP="005A1DD9">
      <w:pPr>
        <w:spacing w:after="0" w:line="240" w:lineRule="auto"/>
        <w:jc w:val="both"/>
        <w:rPr>
          <w:szCs w:val="20"/>
        </w:rPr>
      </w:pPr>
    </w:p>
    <w:p w:rsidR="005A1DD9" w:rsidRPr="00706BEC" w:rsidRDefault="006D5E91" w:rsidP="005A1DD9">
      <w:pPr>
        <w:pStyle w:val="BodyText2"/>
        <w:rPr>
          <w:sz w:val="24"/>
        </w:rPr>
      </w:pPr>
      <w:r>
        <w:rPr>
          <w:sz w:val="24"/>
        </w:rPr>
        <w:t>16</w:t>
      </w:r>
      <w:r w:rsidR="005A1DD9" w:rsidRPr="00706BEC">
        <w:rPr>
          <w:sz w:val="24"/>
        </w:rPr>
        <w:t>.1</w:t>
      </w:r>
      <w:r>
        <w:rPr>
          <w:sz w:val="24"/>
        </w:rPr>
        <w:t>2</w:t>
      </w:r>
      <w:r w:rsidR="005A1DD9" w:rsidRPr="00706BEC">
        <w:rPr>
          <w:sz w:val="24"/>
        </w:rPr>
        <w:t xml:space="preserve">.2015.  </w:t>
      </w:r>
      <w:r w:rsidR="000F6EB2">
        <w:rPr>
          <w:sz w:val="24"/>
        </w:rPr>
        <w:t>11:2</w:t>
      </w:r>
      <w:r w:rsidR="00C75E70">
        <w:rPr>
          <w:sz w:val="24"/>
        </w:rPr>
        <w:t>5</w:t>
      </w:r>
    </w:p>
    <w:p w:rsidR="005A1DD9" w:rsidRPr="00706BEC" w:rsidRDefault="005A1DD9" w:rsidP="005A1DD9">
      <w:pPr>
        <w:pStyle w:val="BodyText2"/>
        <w:rPr>
          <w:sz w:val="24"/>
        </w:rPr>
      </w:pPr>
      <w:r w:rsidRPr="00706BEC">
        <w:rPr>
          <w:sz w:val="24"/>
        </w:rPr>
        <w:fldChar w:fldCharType="begin"/>
      </w:r>
      <w:r w:rsidRPr="00706BEC">
        <w:rPr>
          <w:sz w:val="24"/>
        </w:rPr>
        <w:instrText xml:space="preserve"> NUMWORDS  \* MERGEFORMAT </w:instrText>
      </w:r>
      <w:r w:rsidRPr="00706BEC">
        <w:rPr>
          <w:sz w:val="24"/>
        </w:rPr>
        <w:fldChar w:fldCharType="separate"/>
      </w:r>
      <w:r w:rsidR="002A4A15">
        <w:rPr>
          <w:noProof/>
          <w:sz w:val="24"/>
        </w:rPr>
        <w:t>2298</w:t>
      </w:r>
      <w:r w:rsidRPr="00706BEC">
        <w:rPr>
          <w:sz w:val="24"/>
        </w:rPr>
        <w:fldChar w:fldCharType="end"/>
      </w:r>
    </w:p>
    <w:p w:rsidR="005A1DD9" w:rsidRPr="00706BEC" w:rsidRDefault="005A1DD9" w:rsidP="005A1DD9">
      <w:pPr>
        <w:pStyle w:val="BodyText2"/>
        <w:rPr>
          <w:sz w:val="24"/>
        </w:rPr>
      </w:pPr>
      <w:r w:rsidRPr="00706BEC">
        <w:rPr>
          <w:sz w:val="24"/>
        </w:rPr>
        <w:t>L.Spūle</w:t>
      </w:r>
    </w:p>
    <w:p w:rsidR="005A1DD9" w:rsidRPr="00082EBE" w:rsidRDefault="005A1DD9" w:rsidP="005A1DD9">
      <w:pPr>
        <w:pStyle w:val="BodyText2"/>
        <w:rPr>
          <w:sz w:val="24"/>
        </w:rPr>
      </w:pPr>
      <w:r w:rsidRPr="00706BEC">
        <w:rPr>
          <w:sz w:val="24"/>
        </w:rPr>
        <w:t>67094320; lasma.spule@kase.gov.lv</w:t>
      </w:r>
    </w:p>
    <w:p w:rsidR="005A1DD9" w:rsidRPr="00082EBE" w:rsidRDefault="005A1DD9" w:rsidP="005A1DD9">
      <w:pPr>
        <w:pStyle w:val="BodyText2"/>
        <w:rPr>
          <w:sz w:val="24"/>
        </w:rPr>
      </w:pPr>
    </w:p>
    <w:sectPr w:rsidR="005A1DD9" w:rsidRPr="00082EBE" w:rsidSect="00330F4B">
      <w:headerReference w:type="default" r:id="rId12"/>
      <w:footerReference w:type="default" r:id="rId13"/>
      <w:footerReference w:type="first" r:id="rId14"/>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F5" w:rsidRDefault="00E630F5" w:rsidP="00F51941">
      <w:pPr>
        <w:spacing w:after="0" w:line="240" w:lineRule="auto"/>
      </w:pPr>
      <w:r>
        <w:separator/>
      </w:r>
    </w:p>
  </w:endnote>
  <w:endnote w:type="continuationSeparator" w:id="0">
    <w:p w:rsidR="00E630F5" w:rsidRDefault="00E630F5" w:rsidP="00F5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70" w:rsidRPr="008A1D70" w:rsidRDefault="00B32FC2" w:rsidP="008A1D70">
    <w:pPr>
      <w:pStyle w:val="Footer"/>
      <w:jc w:val="both"/>
      <w:rPr>
        <w:rFonts w:ascii="Times New Roman" w:hAnsi="Times New Roman" w:cs="Times New Roman"/>
      </w:rPr>
    </w:pPr>
    <w:r>
      <w:rPr>
        <w:rFonts w:ascii="Times New Roman" w:hAnsi="Times New Roman" w:cs="Times New Roman"/>
      </w:rPr>
      <w:t>FMAnot_</w:t>
    </w:r>
    <w:r w:rsidR="00A86BAA">
      <w:rPr>
        <w:rFonts w:ascii="Times New Roman" w:hAnsi="Times New Roman" w:cs="Times New Roman"/>
      </w:rPr>
      <w:t>1612</w:t>
    </w:r>
    <w:r w:rsidR="008A1D70" w:rsidRPr="00561356">
      <w:rPr>
        <w:rFonts w:ascii="Times New Roman" w:hAnsi="Times New Roman" w:cs="Times New Roman"/>
      </w:rPr>
      <w:t>15; Ministru kabineta noteikumu projekta “Grozījumi Ministru kabineta</w:t>
    </w:r>
    <w:r w:rsidR="008A1D70">
      <w:t xml:space="preserve"> </w:t>
    </w:r>
    <w:r w:rsidR="008A1D70" w:rsidRPr="00561356">
      <w:rPr>
        <w:rFonts w:ascii="Times New Roman" w:hAnsi="Times New Roman" w:cs="Times New Roman"/>
      </w:rPr>
      <w:t>20</w:t>
    </w:r>
    <w:r w:rsidR="008A1D70">
      <w:rPr>
        <w:rFonts w:ascii="Times New Roman" w:hAnsi="Times New Roman" w:cs="Times New Roman"/>
      </w:rPr>
      <w:t>13</w:t>
    </w:r>
    <w:r w:rsidR="008A1D70" w:rsidRPr="00561356">
      <w:rPr>
        <w:rFonts w:ascii="Times New Roman" w:hAnsi="Times New Roman" w:cs="Times New Roman"/>
      </w:rPr>
      <w:t>. gada 15. </w:t>
    </w:r>
    <w:r w:rsidR="008A1D70">
      <w:rPr>
        <w:rFonts w:ascii="Times New Roman" w:hAnsi="Times New Roman" w:cs="Times New Roman"/>
      </w:rPr>
      <w:t>oktobra</w:t>
    </w:r>
    <w:r w:rsidR="008A1D70" w:rsidRPr="00561356">
      <w:rPr>
        <w:rFonts w:ascii="Times New Roman" w:hAnsi="Times New Roman" w:cs="Times New Roman"/>
      </w:rPr>
      <w:t xml:space="preserve"> noteikumos Nr. </w:t>
    </w:r>
    <w:r w:rsidR="008A1D70">
      <w:rPr>
        <w:rFonts w:ascii="Times New Roman" w:hAnsi="Times New Roman" w:cs="Times New Roman"/>
      </w:rPr>
      <w:t>1115</w:t>
    </w:r>
    <w:r w:rsidR="008A1D70" w:rsidRPr="00561356">
      <w:rPr>
        <w:rFonts w:ascii="Times New Roman" w:hAnsi="Times New Roman" w:cs="Times New Roman"/>
      </w:rPr>
      <w:t xml:space="preserve"> “</w:t>
    </w:r>
    <w:r w:rsidR="008A1D70">
      <w:rPr>
        <w:rFonts w:ascii="Times New Roman" w:hAnsi="Times New Roman" w:cs="Times New Roman"/>
      </w:rPr>
      <w:t>Gada pārskata sagatavošanas kārtība</w:t>
    </w:r>
    <w:r w:rsidR="008A1D70" w:rsidRPr="00561356">
      <w:rPr>
        <w:rFonts w:ascii="Times New Roman" w:hAnsi="Times New Roman" w:cs="Times New Roman"/>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41" w:rsidRPr="00561356" w:rsidRDefault="00B32FC2" w:rsidP="00561356">
    <w:pPr>
      <w:pStyle w:val="Footer"/>
      <w:jc w:val="both"/>
      <w:rPr>
        <w:rFonts w:ascii="Times New Roman" w:hAnsi="Times New Roman" w:cs="Times New Roman"/>
      </w:rPr>
    </w:pPr>
    <w:r>
      <w:rPr>
        <w:rFonts w:ascii="Times New Roman" w:hAnsi="Times New Roman" w:cs="Times New Roman"/>
      </w:rPr>
      <w:t>FMAnot_</w:t>
    </w:r>
    <w:r w:rsidR="00A86BAA">
      <w:rPr>
        <w:rFonts w:ascii="Times New Roman" w:hAnsi="Times New Roman" w:cs="Times New Roman"/>
      </w:rPr>
      <w:t>1612</w:t>
    </w:r>
    <w:r w:rsidR="00F51941" w:rsidRPr="00561356">
      <w:rPr>
        <w:rFonts w:ascii="Times New Roman" w:hAnsi="Times New Roman" w:cs="Times New Roman"/>
      </w:rPr>
      <w:t xml:space="preserve">15; </w:t>
    </w:r>
    <w:r w:rsidR="00561356" w:rsidRPr="00561356">
      <w:rPr>
        <w:rFonts w:ascii="Times New Roman" w:hAnsi="Times New Roman" w:cs="Times New Roman"/>
      </w:rPr>
      <w:t>Ministru kabineta noteikumu projekta “Grozījumi Ministru kabineta</w:t>
    </w:r>
    <w:r w:rsidR="00561356">
      <w:t xml:space="preserve"> </w:t>
    </w:r>
    <w:r w:rsidR="00561356" w:rsidRPr="00561356">
      <w:rPr>
        <w:rFonts w:ascii="Times New Roman" w:hAnsi="Times New Roman" w:cs="Times New Roman"/>
      </w:rPr>
      <w:t>20</w:t>
    </w:r>
    <w:r w:rsidR="008A1D70">
      <w:rPr>
        <w:rFonts w:ascii="Times New Roman" w:hAnsi="Times New Roman" w:cs="Times New Roman"/>
      </w:rPr>
      <w:t>13</w:t>
    </w:r>
    <w:r w:rsidR="00561356" w:rsidRPr="00561356">
      <w:rPr>
        <w:rFonts w:ascii="Times New Roman" w:hAnsi="Times New Roman" w:cs="Times New Roman"/>
      </w:rPr>
      <w:t>. gada 15. </w:t>
    </w:r>
    <w:r w:rsidR="008A1D70">
      <w:rPr>
        <w:rFonts w:ascii="Times New Roman" w:hAnsi="Times New Roman" w:cs="Times New Roman"/>
      </w:rPr>
      <w:t>oktobra</w:t>
    </w:r>
    <w:r w:rsidR="00561356" w:rsidRPr="00561356">
      <w:rPr>
        <w:rFonts w:ascii="Times New Roman" w:hAnsi="Times New Roman" w:cs="Times New Roman"/>
      </w:rPr>
      <w:t xml:space="preserve"> noteikumos Nr. </w:t>
    </w:r>
    <w:r w:rsidR="008A1D70">
      <w:rPr>
        <w:rFonts w:ascii="Times New Roman" w:hAnsi="Times New Roman" w:cs="Times New Roman"/>
      </w:rPr>
      <w:t>1115</w:t>
    </w:r>
    <w:r w:rsidR="00561356" w:rsidRPr="00561356">
      <w:rPr>
        <w:rFonts w:ascii="Times New Roman" w:hAnsi="Times New Roman" w:cs="Times New Roman"/>
      </w:rPr>
      <w:t xml:space="preserve"> “</w:t>
    </w:r>
    <w:r w:rsidR="008A1D70">
      <w:rPr>
        <w:rFonts w:ascii="Times New Roman" w:hAnsi="Times New Roman" w:cs="Times New Roman"/>
      </w:rPr>
      <w:t>Gada pārskata sagatavošanas kārtība</w:t>
    </w:r>
    <w:r w:rsidR="00561356" w:rsidRPr="00561356">
      <w:rPr>
        <w:rFonts w:ascii="Times New Roman" w:hAnsi="Times New Roman" w:cs="Times New Roman"/>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F5" w:rsidRDefault="00E630F5" w:rsidP="00F51941">
      <w:pPr>
        <w:spacing w:after="0" w:line="240" w:lineRule="auto"/>
      </w:pPr>
      <w:r>
        <w:separator/>
      </w:r>
    </w:p>
  </w:footnote>
  <w:footnote w:type="continuationSeparator" w:id="0">
    <w:p w:rsidR="00E630F5" w:rsidRDefault="00E630F5" w:rsidP="00F51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29810"/>
      <w:docPartObj>
        <w:docPartGallery w:val="Page Numbers (Top of Page)"/>
        <w:docPartUnique/>
      </w:docPartObj>
    </w:sdtPr>
    <w:sdtEndPr>
      <w:rPr>
        <w:rFonts w:ascii="Times New Roman" w:hAnsi="Times New Roman" w:cs="Times New Roman"/>
        <w:noProof/>
      </w:rPr>
    </w:sdtEndPr>
    <w:sdtContent>
      <w:p w:rsidR="00F51941" w:rsidRPr="00561356" w:rsidRDefault="00F51941">
        <w:pPr>
          <w:pStyle w:val="Header"/>
          <w:jc w:val="center"/>
          <w:rPr>
            <w:rFonts w:ascii="Times New Roman" w:hAnsi="Times New Roman" w:cs="Times New Roman"/>
          </w:rPr>
        </w:pPr>
        <w:r w:rsidRPr="00561356">
          <w:rPr>
            <w:rFonts w:ascii="Times New Roman" w:hAnsi="Times New Roman" w:cs="Times New Roman"/>
          </w:rPr>
          <w:fldChar w:fldCharType="begin"/>
        </w:r>
        <w:r w:rsidRPr="00561356">
          <w:rPr>
            <w:rFonts w:ascii="Times New Roman" w:hAnsi="Times New Roman" w:cs="Times New Roman"/>
          </w:rPr>
          <w:instrText xml:space="preserve"> PAGE   \* MERGEFORMAT </w:instrText>
        </w:r>
        <w:r w:rsidRPr="00561356">
          <w:rPr>
            <w:rFonts w:ascii="Times New Roman" w:hAnsi="Times New Roman" w:cs="Times New Roman"/>
          </w:rPr>
          <w:fldChar w:fldCharType="separate"/>
        </w:r>
        <w:r w:rsidR="0043285E">
          <w:rPr>
            <w:rFonts w:ascii="Times New Roman" w:hAnsi="Times New Roman" w:cs="Times New Roman"/>
            <w:noProof/>
          </w:rPr>
          <w:t>6</w:t>
        </w:r>
        <w:r w:rsidRPr="00561356">
          <w:rPr>
            <w:rFonts w:ascii="Times New Roman" w:hAnsi="Times New Roman" w:cs="Times New Roman"/>
            <w:noProof/>
          </w:rPr>
          <w:fldChar w:fldCharType="end"/>
        </w:r>
      </w:p>
    </w:sdtContent>
  </w:sdt>
  <w:p w:rsidR="00F51941" w:rsidRDefault="00F5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D36FD2"/>
    <w:multiLevelType w:val="hybridMultilevel"/>
    <w:tmpl w:val="D1FEA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757900"/>
    <w:multiLevelType w:val="hybridMultilevel"/>
    <w:tmpl w:val="AE0A6A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79017B"/>
    <w:multiLevelType w:val="hybridMultilevel"/>
    <w:tmpl w:val="7A5CA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C0410E"/>
    <w:multiLevelType w:val="hybridMultilevel"/>
    <w:tmpl w:val="8E749A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505FAC"/>
    <w:multiLevelType w:val="hybridMultilevel"/>
    <w:tmpl w:val="25EE96C4"/>
    <w:lvl w:ilvl="0" w:tplc="25F0F3F8">
      <w:start w:val="1"/>
      <w:numFmt w:val="bullet"/>
      <w:lvlText w:val="–"/>
      <w:lvlJc w:val="left"/>
      <w:pPr>
        <w:ind w:left="1440" w:hanging="360"/>
      </w:pPr>
      <w:rPr>
        <w:rFonts w:ascii="Univers 55" w:hAnsi="Univers 55"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F5F5062"/>
    <w:multiLevelType w:val="hybridMultilevel"/>
    <w:tmpl w:val="7D14FFD8"/>
    <w:lvl w:ilvl="0" w:tplc="A94413A8">
      <w:start w:val="1"/>
      <w:numFmt w:val="decimal"/>
      <w:lvlText w:val="%1."/>
      <w:lvlJc w:val="left"/>
      <w:pPr>
        <w:ind w:left="720" w:hanging="360"/>
      </w:pPr>
      <w:rPr>
        <w:rFonts w:hint="default"/>
        <w:strike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1C27AA"/>
    <w:multiLevelType w:val="hybridMultilevel"/>
    <w:tmpl w:val="7D14FFD8"/>
    <w:lvl w:ilvl="0" w:tplc="A94413A8">
      <w:start w:val="1"/>
      <w:numFmt w:val="decimal"/>
      <w:lvlText w:val="%1."/>
      <w:lvlJc w:val="left"/>
      <w:pPr>
        <w:ind w:left="720" w:hanging="360"/>
      </w:pPr>
      <w:rPr>
        <w:rFonts w:hint="default"/>
        <w:strike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FF76E43"/>
    <w:multiLevelType w:val="multilevel"/>
    <w:tmpl w:val="21BC9C5A"/>
    <w:lvl w:ilvl="0">
      <w:start w:val="1"/>
      <w:numFmt w:val="decimal"/>
      <w:lvlText w:val="%1."/>
      <w:lvlJc w:val="left"/>
      <w:pPr>
        <w:ind w:left="915" w:hanging="615"/>
      </w:pPr>
      <w:rPr>
        <w:strike w:val="0"/>
        <w:sz w:val="28"/>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82"/>
    <w:rsid w:val="00021B9E"/>
    <w:rsid w:val="00023D89"/>
    <w:rsid w:val="000577A4"/>
    <w:rsid w:val="00064CE4"/>
    <w:rsid w:val="00066F08"/>
    <w:rsid w:val="00071182"/>
    <w:rsid w:val="00082EBE"/>
    <w:rsid w:val="00085F0D"/>
    <w:rsid w:val="000A5F0A"/>
    <w:rsid w:val="000B5D85"/>
    <w:rsid w:val="000C17ED"/>
    <w:rsid w:val="000C6935"/>
    <w:rsid w:val="000C763D"/>
    <w:rsid w:val="000C7D56"/>
    <w:rsid w:val="000D382A"/>
    <w:rsid w:val="000D482E"/>
    <w:rsid w:val="000E3068"/>
    <w:rsid w:val="000E31D6"/>
    <w:rsid w:val="000E52F4"/>
    <w:rsid w:val="000F630E"/>
    <w:rsid w:val="000F6EB2"/>
    <w:rsid w:val="00125CA2"/>
    <w:rsid w:val="00144F66"/>
    <w:rsid w:val="0016003F"/>
    <w:rsid w:val="001611A0"/>
    <w:rsid w:val="001655DC"/>
    <w:rsid w:val="00165704"/>
    <w:rsid w:val="001772CA"/>
    <w:rsid w:val="001828A3"/>
    <w:rsid w:val="00185CF9"/>
    <w:rsid w:val="00192960"/>
    <w:rsid w:val="001A003A"/>
    <w:rsid w:val="001B5733"/>
    <w:rsid w:val="001C3FD3"/>
    <w:rsid w:val="001F3D8F"/>
    <w:rsid w:val="00207203"/>
    <w:rsid w:val="00222DFF"/>
    <w:rsid w:val="00224FAB"/>
    <w:rsid w:val="00225B23"/>
    <w:rsid w:val="0023229E"/>
    <w:rsid w:val="00232E8D"/>
    <w:rsid w:val="00236CEE"/>
    <w:rsid w:val="00236ED7"/>
    <w:rsid w:val="00240937"/>
    <w:rsid w:val="00247300"/>
    <w:rsid w:val="0026600F"/>
    <w:rsid w:val="00271ECF"/>
    <w:rsid w:val="00272363"/>
    <w:rsid w:val="0028650C"/>
    <w:rsid w:val="002A06DE"/>
    <w:rsid w:val="002A4A15"/>
    <w:rsid w:val="002C2938"/>
    <w:rsid w:val="002C5CA0"/>
    <w:rsid w:val="002E7A3A"/>
    <w:rsid w:val="00305FD0"/>
    <w:rsid w:val="0032235B"/>
    <w:rsid w:val="0032340F"/>
    <w:rsid w:val="00330F4B"/>
    <w:rsid w:val="00334545"/>
    <w:rsid w:val="00340884"/>
    <w:rsid w:val="00342599"/>
    <w:rsid w:val="00351805"/>
    <w:rsid w:val="00351D91"/>
    <w:rsid w:val="0035390F"/>
    <w:rsid w:val="00354529"/>
    <w:rsid w:val="0036714B"/>
    <w:rsid w:val="00372826"/>
    <w:rsid w:val="00373627"/>
    <w:rsid w:val="00395927"/>
    <w:rsid w:val="003959F0"/>
    <w:rsid w:val="00397584"/>
    <w:rsid w:val="003B7599"/>
    <w:rsid w:val="003C1CAE"/>
    <w:rsid w:val="003C7FDF"/>
    <w:rsid w:val="003D2598"/>
    <w:rsid w:val="003D6A85"/>
    <w:rsid w:val="003E02EC"/>
    <w:rsid w:val="003F1002"/>
    <w:rsid w:val="003F13BF"/>
    <w:rsid w:val="00400B18"/>
    <w:rsid w:val="00403540"/>
    <w:rsid w:val="00405DBF"/>
    <w:rsid w:val="004223D7"/>
    <w:rsid w:val="00424B46"/>
    <w:rsid w:val="00426944"/>
    <w:rsid w:val="0043285E"/>
    <w:rsid w:val="00433F76"/>
    <w:rsid w:val="0043757E"/>
    <w:rsid w:val="00475C64"/>
    <w:rsid w:val="004913B4"/>
    <w:rsid w:val="0049153C"/>
    <w:rsid w:val="004A7DDE"/>
    <w:rsid w:val="004B0C72"/>
    <w:rsid w:val="004B38E6"/>
    <w:rsid w:val="004D2EDE"/>
    <w:rsid w:val="004D4B55"/>
    <w:rsid w:val="004F38D0"/>
    <w:rsid w:val="00502AA6"/>
    <w:rsid w:val="0051367B"/>
    <w:rsid w:val="00517E35"/>
    <w:rsid w:val="0052290E"/>
    <w:rsid w:val="00545762"/>
    <w:rsid w:val="00555870"/>
    <w:rsid w:val="00561356"/>
    <w:rsid w:val="005713C3"/>
    <w:rsid w:val="00572B55"/>
    <w:rsid w:val="00580692"/>
    <w:rsid w:val="005A1DD9"/>
    <w:rsid w:val="005C20EB"/>
    <w:rsid w:val="005C4057"/>
    <w:rsid w:val="005D680B"/>
    <w:rsid w:val="005D6F6E"/>
    <w:rsid w:val="005F3960"/>
    <w:rsid w:val="005F4AC9"/>
    <w:rsid w:val="005F4FAD"/>
    <w:rsid w:val="005F501F"/>
    <w:rsid w:val="0060266C"/>
    <w:rsid w:val="0060694A"/>
    <w:rsid w:val="006240C8"/>
    <w:rsid w:val="0062444B"/>
    <w:rsid w:val="006306FF"/>
    <w:rsid w:val="00630AC6"/>
    <w:rsid w:val="006436AD"/>
    <w:rsid w:val="00644EBF"/>
    <w:rsid w:val="006474DC"/>
    <w:rsid w:val="006474EC"/>
    <w:rsid w:val="0065708F"/>
    <w:rsid w:val="006818A7"/>
    <w:rsid w:val="006A3AC3"/>
    <w:rsid w:val="006B0E02"/>
    <w:rsid w:val="006C7BD4"/>
    <w:rsid w:val="006D3659"/>
    <w:rsid w:val="006D4477"/>
    <w:rsid w:val="006D5E91"/>
    <w:rsid w:val="006E19F7"/>
    <w:rsid w:val="006F3E35"/>
    <w:rsid w:val="00706BEC"/>
    <w:rsid w:val="007220BD"/>
    <w:rsid w:val="00736371"/>
    <w:rsid w:val="00737C04"/>
    <w:rsid w:val="0074140E"/>
    <w:rsid w:val="0074564E"/>
    <w:rsid w:val="00745FA9"/>
    <w:rsid w:val="00760E41"/>
    <w:rsid w:val="007747EF"/>
    <w:rsid w:val="00774F04"/>
    <w:rsid w:val="00793DF1"/>
    <w:rsid w:val="007A4D57"/>
    <w:rsid w:val="007A6E78"/>
    <w:rsid w:val="007B2E3D"/>
    <w:rsid w:val="007B43E8"/>
    <w:rsid w:val="007B5122"/>
    <w:rsid w:val="007C445B"/>
    <w:rsid w:val="007C5A24"/>
    <w:rsid w:val="007D0808"/>
    <w:rsid w:val="007D2A91"/>
    <w:rsid w:val="007D58BA"/>
    <w:rsid w:val="007F3960"/>
    <w:rsid w:val="007F5AF8"/>
    <w:rsid w:val="00807AD0"/>
    <w:rsid w:val="008127B7"/>
    <w:rsid w:val="00817EA4"/>
    <w:rsid w:val="00821139"/>
    <w:rsid w:val="00822A98"/>
    <w:rsid w:val="00845999"/>
    <w:rsid w:val="008465B4"/>
    <w:rsid w:val="008538B7"/>
    <w:rsid w:val="0085745B"/>
    <w:rsid w:val="00871C5A"/>
    <w:rsid w:val="00876AB8"/>
    <w:rsid w:val="008906F4"/>
    <w:rsid w:val="008906FE"/>
    <w:rsid w:val="008A1D70"/>
    <w:rsid w:val="008A698D"/>
    <w:rsid w:val="008D74D9"/>
    <w:rsid w:val="009031CE"/>
    <w:rsid w:val="009116AA"/>
    <w:rsid w:val="00922248"/>
    <w:rsid w:val="00924FAF"/>
    <w:rsid w:val="0094406E"/>
    <w:rsid w:val="00947120"/>
    <w:rsid w:val="009546B2"/>
    <w:rsid w:val="0096758F"/>
    <w:rsid w:val="009A2FD6"/>
    <w:rsid w:val="009B4966"/>
    <w:rsid w:val="009B5593"/>
    <w:rsid w:val="009C5282"/>
    <w:rsid w:val="009D10F5"/>
    <w:rsid w:val="009E207A"/>
    <w:rsid w:val="009F39B0"/>
    <w:rsid w:val="009F6DF2"/>
    <w:rsid w:val="009F7307"/>
    <w:rsid w:val="00A01137"/>
    <w:rsid w:val="00A0622C"/>
    <w:rsid w:val="00A17E4C"/>
    <w:rsid w:val="00A205EF"/>
    <w:rsid w:val="00A44BE1"/>
    <w:rsid w:val="00A45ABD"/>
    <w:rsid w:val="00A4785C"/>
    <w:rsid w:val="00A66294"/>
    <w:rsid w:val="00A73C39"/>
    <w:rsid w:val="00A771D9"/>
    <w:rsid w:val="00A86BAA"/>
    <w:rsid w:val="00A90219"/>
    <w:rsid w:val="00AA5FC4"/>
    <w:rsid w:val="00AC3C53"/>
    <w:rsid w:val="00AD4ACD"/>
    <w:rsid w:val="00AD6ED5"/>
    <w:rsid w:val="00AD76A8"/>
    <w:rsid w:val="00B0265C"/>
    <w:rsid w:val="00B03061"/>
    <w:rsid w:val="00B12C50"/>
    <w:rsid w:val="00B16B5F"/>
    <w:rsid w:val="00B17371"/>
    <w:rsid w:val="00B23869"/>
    <w:rsid w:val="00B32FC2"/>
    <w:rsid w:val="00B40EC1"/>
    <w:rsid w:val="00B45D0F"/>
    <w:rsid w:val="00B55F18"/>
    <w:rsid w:val="00B82A97"/>
    <w:rsid w:val="00BB7F77"/>
    <w:rsid w:val="00C00A09"/>
    <w:rsid w:val="00C05007"/>
    <w:rsid w:val="00C21152"/>
    <w:rsid w:val="00C262B1"/>
    <w:rsid w:val="00C418B4"/>
    <w:rsid w:val="00C453DB"/>
    <w:rsid w:val="00C45421"/>
    <w:rsid w:val="00C5373D"/>
    <w:rsid w:val="00C6049F"/>
    <w:rsid w:val="00C61416"/>
    <w:rsid w:val="00C62889"/>
    <w:rsid w:val="00C73C46"/>
    <w:rsid w:val="00C75E70"/>
    <w:rsid w:val="00C81B0B"/>
    <w:rsid w:val="00C853D3"/>
    <w:rsid w:val="00C87453"/>
    <w:rsid w:val="00C97A64"/>
    <w:rsid w:val="00CA1304"/>
    <w:rsid w:val="00CB47AC"/>
    <w:rsid w:val="00CC5274"/>
    <w:rsid w:val="00CD5757"/>
    <w:rsid w:val="00CD5F9D"/>
    <w:rsid w:val="00CD760E"/>
    <w:rsid w:val="00CF6010"/>
    <w:rsid w:val="00D5188D"/>
    <w:rsid w:val="00D663D5"/>
    <w:rsid w:val="00D678A9"/>
    <w:rsid w:val="00D71DB2"/>
    <w:rsid w:val="00D73441"/>
    <w:rsid w:val="00D75E1A"/>
    <w:rsid w:val="00D8410A"/>
    <w:rsid w:val="00D85011"/>
    <w:rsid w:val="00D935C4"/>
    <w:rsid w:val="00DA5FA5"/>
    <w:rsid w:val="00DA7EC3"/>
    <w:rsid w:val="00DB3875"/>
    <w:rsid w:val="00DC3505"/>
    <w:rsid w:val="00DC7722"/>
    <w:rsid w:val="00E0241D"/>
    <w:rsid w:val="00E033A3"/>
    <w:rsid w:val="00E131C7"/>
    <w:rsid w:val="00E24CB0"/>
    <w:rsid w:val="00E2671E"/>
    <w:rsid w:val="00E37435"/>
    <w:rsid w:val="00E47E8A"/>
    <w:rsid w:val="00E5085E"/>
    <w:rsid w:val="00E515AB"/>
    <w:rsid w:val="00E630F5"/>
    <w:rsid w:val="00E65927"/>
    <w:rsid w:val="00E8041F"/>
    <w:rsid w:val="00E8251A"/>
    <w:rsid w:val="00E8333D"/>
    <w:rsid w:val="00E90FB6"/>
    <w:rsid w:val="00E918CE"/>
    <w:rsid w:val="00E94A4C"/>
    <w:rsid w:val="00ED045B"/>
    <w:rsid w:val="00ED18B5"/>
    <w:rsid w:val="00EF242E"/>
    <w:rsid w:val="00EF5A5F"/>
    <w:rsid w:val="00F01DF7"/>
    <w:rsid w:val="00F03729"/>
    <w:rsid w:val="00F07C3C"/>
    <w:rsid w:val="00F16E4A"/>
    <w:rsid w:val="00F26672"/>
    <w:rsid w:val="00F31179"/>
    <w:rsid w:val="00F379AE"/>
    <w:rsid w:val="00F5067E"/>
    <w:rsid w:val="00F51941"/>
    <w:rsid w:val="00F645C7"/>
    <w:rsid w:val="00F7354B"/>
    <w:rsid w:val="00F80116"/>
    <w:rsid w:val="00F8204A"/>
    <w:rsid w:val="00F83AEF"/>
    <w:rsid w:val="00FA31F6"/>
    <w:rsid w:val="00FC10BB"/>
    <w:rsid w:val="00FC36E9"/>
    <w:rsid w:val="00FD692A"/>
    <w:rsid w:val="00FD7A39"/>
    <w:rsid w:val="00FE3375"/>
    <w:rsid w:val="00FE51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semiHidden/>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semiHidden/>
    <w:rsid w:val="005A1DD9"/>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semiHidden/>
    <w:rsid w:val="005A1DD9"/>
    <w:rPr>
      <w:rFonts w:ascii="Times New Roman" w:eastAsia="Times New Roman" w:hAnsi="Times New Roman" w:cs="Times New Roman"/>
      <w:b/>
      <w:bCs/>
      <w:sz w:val="28"/>
      <w:szCs w:val="28"/>
    </w:rPr>
  </w:style>
  <w:style w:type="paragraph" w:styleId="BodyText2">
    <w:name w:val="Body Text 2"/>
    <w:basedOn w:val="Normal"/>
    <w:link w:val="BodyText2Char"/>
    <w:semiHidden/>
    <w:rsid w:val="005A1DD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A1DD9"/>
    <w:rPr>
      <w:rFonts w:ascii="Times New Roman" w:eastAsia="Times New Roman" w:hAnsi="Times New Roman" w:cs="Times New Roman"/>
      <w:sz w:val="28"/>
      <w:szCs w:val="16"/>
    </w:rPr>
  </w:style>
  <w:style w:type="paragraph" w:styleId="ListParagraph">
    <w:name w:val="List Paragraph"/>
    <w:basedOn w:val="Normal"/>
    <w:uiPriority w:val="34"/>
    <w:qFormat/>
    <w:rsid w:val="00ED045B"/>
    <w:pPr>
      <w:ind w:left="720"/>
      <w:contextualSpacing/>
    </w:pPr>
  </w:style>
  <w:style w:type="paragraph" w:customStyle="1" w:styleId="DefaultParagraphFont1">
    <w:name w:val="Default Paragraph Font1"/>
    <w:basedOn w:val="Normal"/>
    <w:rsid w:val="00082EBE"/>
    <w:pPr>
      <w:spacing w:after="0" w:line="240" w:lineRule="auto"/>
    </w:pPr>
    <w:rPr>
      <w:rFonts w:ascii="CG Times (W1)" w:eastAsia="Times New Roman" w:hAnsi="CG Times (W1)" w:cs="Times New Roman"/>
      <w:sz w:val="20"/>
      <w:szCs w:val="20"/>
    </w:rPr>
  </w:style>
  <w:style w:type="paragraph" w:styleId="Header">
    <w:name w:val="header"/>
    <w:basedOn w:val="Normal"/>
    <w:link w:val="HeaderChar"/>
    <w:uiPriority w:val="99"/>
    <w:unhideWhenUsed/>
    <w:rsid w:val="00F51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1941"/>
  </w:style>
  <w:style w:type="paragraph" w:styleId="Footer">
    <w:name w:val="footer"/>
    <w:basedOn w:val="Normal"/>
    <w:link w:val="FooterChar"/>
    <w:uiPriority w:val="99"/>
    <w:unhideWhenUsed/>
    <w:rsid w:val="00F51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1941"/>
  </w:style>
  <w:style w:type="character" w:styleId="CommentReference">
    <w:name w:val="annotation reference"/>
    <w:basedOn w:val="DefaultParagraphFont"/>
    <w:uiPriority w:val="99"/>
    <w:semiHidden/>
    <w:unhideWhenUsed/>
    <w:rsid w:val="00C81B0B"/>
    <w:rPr>
      <w:sz w:val="16"/>
      <w:szCs w:val="16"/>
    </w:rPr>
  </w:style>
  <w:style w:type="paragraph" w:styleId="CommentText">
    <w:name w:val="annotation text"/>
    <w:basedOn w:val="Normal"/>
    <w:link w:val="CommentTextChar"/>
    <w:uiPriority w:val="99"/>
    <w:semiHidden/>
    <w:unhideWhenUsed/>
    <w:rsid w:val="00C81B0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C81B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8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0B"/>
    <w:rPr>
      <w:rFonts w:ascii="Tahoma" w:hAnsi="Tahoma" w:cs="Tahoma"/>
      <w:sz w:val="16"/>
      <w:szCs w:val="16"/>
    </w:rPr>
  </w:style>
  <w:style w:type="character" w:customStyle="1" w:styleId="st1">
    <w:name w:val="st1"/>
    <w:rsid w:val="003C7FDF"/>
  </w:style>
  <w:style w:type="paragraph" w:styleId="CommentSubject">
    <w:name w:val="annotation subject"/>
    <w:basedOn w:val="CommentText"/>
    <w:next w:val="CommentText"/>
    <w:link w:val="CommentSubjectChar"/>
    <w:uiPriority w:val="99"/>
    <w:semiHidden/>
    <w:unhideWhenUsed/>
    <w:rsid w:val="00232E8D"/>
    <w:pPr>
      <w:spacing w:after="20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232E8D"/>
    <w:rPr>
      <w:rFonts w:ascii="Times New Roman" w:eastAsia="Times New Roman" w:hAnsi="Times New Roman" w:cs="Times New Roman"/>
      <w:b/>
      <w:bCs/>
      <w:sz w:val="20"/>
      <w:szCs w:val="20"/>
      <w:lang w:val="en-GB"/>
    </w:rPr>
  </w:style>
  <w:style w:type="paragraph" w:customStyle="1" w:styleId="tv213">
    <w:name w:val="tv213"/>
    <w:basedOn w:val="Normal"/>
    <w:rsid w:val="007C5A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semiHidden/>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semiHidden/>
    <w:rsid w:val="005A1DD9"/>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semiHidden/>
    <w:rsid w:val="005A1DD9"/>
    <w:rPr>
      <w:rFonts w:ascii="Times New Roman" w:eastAsia="Times New Roman" w:hAnsi="Times New Roman" w:cs="Times New Roman"/>
      <w:b/>
      <w:bCs/>
      <w:sz w:val="28"/>
      <w:szCs w:val="28"/>
    </w:rPr>
  </w:style>
  <w:style w:type="paragraph" w:styleId="BodyText2">
    <w:name w:val="Body Text 2"/>
    <w:basedOn w:val="Normal"/>
    <w:link w:val="BodyText2Char"/>
    <w:semiHidden/>
    <w:rsid w:val="005A1DD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A1DD9"/>
    <w:rPr>
      <w:rFonts w:ascii="Times New Roman" w:eastAsia="Times New Roman" w:hAnsi="Times New Roman" w:cs="Times New Roman"/>
      <w:sz w:val="28"/>
      <w:szCs w:val="16"/>
    </w:rPr>
  </w:style>
  <w:style w:type="paragraph" w:styleId="ListParagraph">
    <w:name w:val="List Paragraph"/>
    <w:basedOn w:val="Normal"/>
    <w:uiPriority w:val="34"/>
    <w:qFormat/>
    <w:rsid w:val="00ED045B"/>
    <w:pPr>
      <w:ind w:left="720"/>
      <w:contextualSpacing/>
    </w:pPr>
  </w:style>
  <w:style w:type="paragraph" w:customStyle="1" w:styleId="DefaultParagraphFont1">
    <w:name w:val="Default Paragraph Font1"/>
    <w:basedOn w:val="Normal"/>
    <w:rsid w:val="00082EBE"/>
    <w:pPr>
      <w:spacing w:after="0" w:line="240" w:lineRule="auto"/>
    </w:pPr>
    <w:rPr>
      <w:rFonts w:ascii="CG Times (W1)" w:eastAsia="Times New Roman" w:hAnsi="CG Times (W1)" w:cs="Times New Roman"/>
      <w:sz w:val="20"/>
      <w:szCs w:val="20"/>
    </w:rPr>
  </w:style>
  <w:style w:type="paragraph" w:styleId="Header">
    <w:name w:val="header"/>
    <w:basedOn w:val="Normal"/>
    <w:link w:val="HeaderChar"/>
    <w:uiPriority w:val="99"/>
    <w:unhideWhenUsed/>
    <w:rsid w:val="00F51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1941"/>
  </w:style>
  <w:style w:type="paragraph" w:styleId="Footer">
    <w:name w:val="footer"/>
    <w:basedOn w:val="Normal"/>
    <w:link w:val="FooterChar"/>
    <w:uiPriority w:val="99"/>
    <w:unhideWhenUsed/>
    <w:rsid w:val="00F51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1941"/>
  </w:style>
  <w:style w:type="character" w:styleId="CommentReference">
    <w:name w:val="annotation reference"/>
    <w:basedOn w:val="DefaultParagraphFont"/>
    <w:uiPriority w:val="99"/>
    <w:semiHidden/>
    <w:unhideWhenUsed/>
    <w:rsid w:val="00C81B0B"/>
    <w:rPr>
      <w:sz w:val="16"/>
      <w:szCs w:val="16"/>
    </w:rPr>
  </w:style>
  <w:style w:type="paragraph" w:styleId="CommentText">
    <w:name w:val="annotation text"/>
    <w:basedOn w:val="Normal"/>
    <w:link w:val="CommentTextChar"/>
    <w:uiPriority w:val="99"/>
    <w:semiHidden/>
    <w:unhideWhenUsed/>
    <w:rsid w:val="00C81B0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C81B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8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0B"/>
    <w:rPr>
      <w:rFonts w:ascii="Tahoma" w:hAnsi="Tahoma" w:cs="Tahoma"/>
      <w:sz w:val="16"/>
      <w:szCs w:val="16"/>
    </w:rPr>
  </w:style>
  <w:style w:type="character" w:customStyle="1" w:styleId="st1">
    <w:name w:val="st1"/>
    <w:rsid w:val="003C7FDF"/>
  </w:style>
  <w:style w:type="paragraph" w:styleId="CommentSubject">
    <w:name w:val="annotation subject"/>
    <w:basedOn w:val="CommentText"/>
    <w:next w:val="CommentText"/>
    <w:link w:val="CommentSubjectChar"/>
    <w:uiPriority w:val="99"/>
    <w:semiHidden/>
    <w:unhideWhenUsed/>
    <w:rsid w:val="00232E8D"/>
    <w:pPr>
      <w:spacing w:after="20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232E8D"/>
    <w:rPr>
      <w:rFonts w:ascii="Times New Roman" w:eastAsia="Times New Roman" w:hAnsi="Times New Roman" w:cs="Times New Roman"/>
      <w:b/>
      <w:bCs/>
      <w:sz w:val="20"/>
      <w:szCs w:val="20"/>
      <w:lang w:val="en-GB"/>
    </w:rPr>
  </w:style>
  <w:style w:type="paragraph" w:customStyle="1" w:styleId="tv213">
    <w:name w:val="tv213"/>
    <w:basedOn w:val="Normal"/>
    <w:rsid w:val="007C5A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6371">
      <w:bodyDiv w:val="1"/>
      <w:marLeft w:val="0"/>
      <w:marRight w:val="0"/>
      <w:marTop w:val="0"/>
      <w:marBottom w:val="0"/>
      <w:divBdr>
        <w:top w:val="none" w:sz="0" w:space="0" w:color="auto"/>
        <w:left w:val="none" w:sz="0" w:space="0" w:color="auto"/>
        <w:bottom w:val="none" w:sz="0" w:space="0" w:color="auto"/>
        <w:right w:val="none" w:sz="0" w:space="0" w:color="auto"/>
      </w:divBdr>
    </w:div>
    <w:div w:id="437412071">
      <w:bodyDiv w:val="1"/>
      <w:marLeft w:val="0"/>
      <w:marRight w:val="0"/>
      <w:marTop w:val="0"/>
      <w:marBottom w:val="0"/>
      <w:divBdr>
        <w:top w:val="none" w:sz="0" w:space="0" w:color="auto"/>
        <w:left w:val="none" w:sz="0" w:space="0" w:color="auto"/>
        <w:bottom w:val="none" w:sz="0" w:space="0" w:color="auto"/>
        <w:right w:val="none" w:sz="0" w:space="0" w:color="auto"/>
      </w:divBdr>
    </w:div>
    <w:div w:id="930968234">
      <w:bodyDiv w:val="1"/>
      <w:marLeft w:val="0"/>
      <w:marRight w:val="0"/>
      <w:marTop w:val="0"/>
      <w:marBottom w:val="0"/>
      <w:divBdr>
        <w:top w:val="none" w:sz="0" w:space="0" w:color="auto"/>
        <w:left w:val="none" w:sz="0" w:space="0" w:color="auto"/>
        <w:bottom w:val="none" w:sz="0" w:space="0" w:color="auto"/>
        <w:right w:val="none" w:sz="0" w:space="0" w:color="auto"/>
      </w:divBdr>
      <w:divsChild>
        <w:div w:id="1501579943">
          <w:marLeft w:val="0"/>
          <w:marRight w:val="0"/>
          <w:marTop w:val="400"/>
          <w:marBottom w:val="0"/>
          <w:divBdr>
            <w:top w:val="none" w:sz="0" w:space="0" w:color="auto"/>
            <w:left w:val="none" w:sz="0" w:space="0" w:color="auto"/>
            <w:bottom w:val="none" w:sz="0" w:space="0" w:color="auto"/>
            <w:right w:val="none" w:sz="0" w:space="0" w:color="auto"/>
          </w:divBdr>
        </w:div>
        <w:div w:id="1700542266">
          <w:marLeft w:val="0"/>
          <w:marRight w:val="0"/>
          <w:marTop w:val="240"/>
          <w:marBottom w:val="0"/>
          <w:divBdr>
            <w:top w:val="none" w:sz="0" w:space="0" w:color="auto"/>
            <w:left w:val="none" w:sz="0" w:space="0" w:color="auto"/>
            <w:bottom w:val="none" w:sz="0" w:space="0" w:color="auto"/>
            <w:right w:val="none" w:sz="0" w:space="0" w:color="auto"/>
          </w:divBdr>
        </w:div>
      </w:divsChild>
    </w:div>
    <w:div w:id="1163934813">
      <w:bodyDiv w:val="1"/>
      <w:marLeft w:val="0"/>
      <w:marRight w:val="0"/>
      <w:marTop w:val="0"/>
      <w:marBottom w:val="0"/>
      <w:divBdr>
        <w:top w:val="none" w:sz="0" w:space="0" w:color="auto"/>
        <w:left w:val="none" w:sz="0" w:space="0" w:color="auto"/>
        <w:bottom w:val="none" w:sz="0" w:space="0" w:color="auto"/>
        <w:right w:val="none" w:sz="0" w:space="0" w:color="auto"/>
      </w:divBdr>
    </w:div>
    <w:div w:id="12970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wikipedia.org/w/index.php?title=Plus_un_m%C4%ABnus_z%C4%ABmes&amp;action=edit&amp;redlin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v.wikipedia.org/wiki/Re%C4%81ls_skaitlis" TargetMode="External"/><Relationship Id="rId4" Type="http://schemas.microsoft.com/office/2007/relationships/stylesWithEffects" Target="stylesWithEffects.xml"/><Relationship Id="rId9" Type="http://schemas.openxmlformats.org/officeDocument/2006/relationships/hyperlink" Target="https://lv.wikipedia.org/wiki/Matem%C4%81ti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9378-E4ED-4909-8D22-87ADC26F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12469</Words>
  <Characters>7108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15. oktobra noteikumos Nr. 1115 “Gada pārskata sagatavošanas kārtība”” sākotnējās ietekmes novērtējuma ziņojums (anotācija)</vt:lpstr>
    </vt:vector>
  </TitlesOfParts>
  <Manager>Valsts kases Pārskatu departamenta direktore L.Agleniece</Manager>
  <Company>Valsts kase</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15. oktobra noteikumos Nr. 1115 “Gada pārskata sagatavošanas kārtība”” sākotnējās ietekmes novērtējuma ziņojums (anotācija)</dc:title>
  <dc:subject>Anotācija</dc:subject>
  <dc:creator>Valsts kases Pārskatu departamenta vecākā eksperte L.Spūle</dc:creator>
  <dc:description>L.Spūle
67094320; lasma.spule@kase.gov.lv</dc:description>
  <cp:lastModifiedBy>Laimdota Adlere</cp:lastModifiedBy>
  <cp:revision>4</cp:revision>
  <cp:lastPrinted>2015-12-08T08:41:00Z</cp:lastPrinted>
  <dcterms:created xsi:type="dcterms:W3CDTF">2016-01-12T11:12:00Z</dcterms:created>
  <dcterms:modified xsi:type="dcterms:W3CDTF">2016-01-12T11:12:00Z</dcterms:modified>
</cp:coreProperties>
</file>